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8538" w14:textId="77777777" w:rsidR="007F6B51" w:rsidRPr="00890FCA" w:rsidRDefault="007F6B51" w:rsidP="007F6B51">
      <w:r w:rsidRPr="007F6B51">
        <w:rPr>
          <w:b/>
          <w:bCs/>
        </w:rPr>
        <w:t>Obsah časopisu Theatrum historiae 15 (2014)</w:t>
      </w:r>
    </w:p>
    <w:p w14:paraId="03C0F752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Károly GODA, Metamorphoses of Corpus Christi: Eucharistic Processions &amp; Clashes in Fifteenth- and Sixteenth-Century Vienna s. 9-50</w:t>
      </w:r>
    </w:p>
    <w:p w14:paraId="440C8C8B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Petr VOREL, Politická komunikace české stavovské opozice roku 1547 (Regionální aspekt a role „Přátelského snešení“ ve stavovském odboji), s. 51-95</w:t>
      </w:r>
    </w:p>
    <w:p w14:paraId="19AFEAC1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Tomáš ČERNUŠÁK, „Nel banco dove sta il nuntio non vi sedano altri“. Ceremoniál jako forma symbolické komunikace pražského nuncia Antonia Caetaniho (1607-1611), s. 97-107</w:t>
      </w:r>
    </w:p>
    <w:p w14:paraId="29DBA632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Pavel PANOCH, Světec, kříž a zbožný krab. Divertimento z barokní hagiografie mezi Západem a Východem, s. 109-133</w:t>
      </w:r>
    </w:p>
    <w:p w14:paraId="5F76E55B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Petr GRULICH, Četnictvo v Hradci Králové: Úvod do jeho struktury ve třicátých letech 20. století, s. 135-162</w:t>
      </w:r>
    </w:p>
    <w:p w14:paraId="6084AEED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Aleš BINAR, Konference velvyslanců v červenci 1920 o Těšínsku, Oravě a Spiši</w:t>
      </w:r>
      <w:r w:rsidRPr="00890FCA">
        <w:br/>
        <w:t>v proměnách české historiografie, s. 163-183</w:t>
      </w:r>
    </w:p>
    <w:p w14:paraId="7C78ED83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Andrzej ESSEN, Wokół stosunków polsko-słowackich w latach 1938–1939, s. 185-197</w:t>
      </w:r>
    </w:p>
    <w:p w14:paraId="028C0627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Magdalena HUŁAS, Polsko-czechosłowacka (kon)federacja. Cele i oczekiwania strony polskiej (1939–1943), s. 199-219</w:t>
      </w:r>
    </w:p>
    <w:p w14:paraId="2C9196D6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Pavol MATULA, Pripojenie Javoriny a Lesnice k Poľsku 1938–1939, s. 221-237</w:t>
      </w:r>
    </w:p>
    <w:p w14:paraId="53122714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Jan NĚMEČEK, Československo-polská (kon)federace, s. 239-258</w:t>
      </w:r>
    </w:p>
    <w:p w14:paraId="5EF3E032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Krzysztof NOWAK, Zaolzie 1945. Wokół polskiej historiografii i historiograficznych kontrowersji, s. 259-270</w:t>
      </w:r>
    </w:p>
    <w:p w14:paraId="3F5CF4AE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Tomáš JIRÁNEK, V Americe za války „před válkou“. Působení plk. gšt. Oldřicha Španiela v USA v letech 1939–1941, s. 271-295</w:t>
      </w:r>
    </w:p>
    <w:p w14:paraId="627A1E19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Jaroslav MILLER, Organizace českého exilu v Austrálii v letech 1948–1989, s. 297-324</w:t>
      </w:r>
    </w:p>
    <w:p w14:paraId="1401DC4D" w14:textId="77777777" w:rsidR="007F6B51" w:rsidRDefault="007F6B51" w:rsidP="007F6B51">
      <w:pPr>
        <w:pStyle w:val="Odstavecseseznamem"/>
        <w:numPr>
          <w:ilvl w:val="0"/>
          <w:numId w:val="1"/>
        </w:numPr>
      </w:pPr>
      <w:r w:rsidRPr="00890FCA">
        <w:t>Pavel BOŠTÍK, Velká krize kolektivizace v Pardubickém kraji, s. 325-349</w:t>
      </w:r>
    </w:p>
    <w:p w14:paraId="4F226AD8" w14:textId="471BE3E0" w:rsidR="007F6B51" w:rsidRPr="00890FCA" w:rsidRDefault="007F6B51" w:rsidP="007F6B51">
      <w:pPr>
        <w:pStyle w:val="Odstavecseseznamem"/>
        <w:numPr>
          <w:ilvl w:val="0"/>
          <w:numId w:val="1"/>
        </w:numPr>
      </w:pPr>
      <w:r w:rsidRPr="00890FCA">
        <w:t>Zprávy a recenze, s. 351-373</w:t>
      </w:r>
    </w:p>
    <w:p w14:paraId="43F0E0B0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51"/>
    <w:rsid w:val="0038350F"/>
    <w:rsid w:val="007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4DE"/>
  <w15:chartTrackingRefBased/>
  <w15:docId w15:val="{10376C08-7924-4115-B923-06C7C1E6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2021-05-06T14:51:00Z</dcterms:created>
  <dcterms:modified xsi:type="dcterms:W3CDTF">2021-05-06T14:52:00Z</dcterms:modified>
</cp:coreProperties>
</file>