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F9B7" w14:textId="6A926B4E" w:rsidR="0098666F" w:rsidRPr="0098666F" w:rsidRDefault="0098666F" w:rsidP="0098666F">
      <w:r w:rsidRPr="0098666F">
        <w:t xml:space="preserve">Doc. </w:t>
      </w:r>
      <w:proofErr w:type="spellStart"/>
      <w:r w:rsidRPr="0098666F">
        <w:t>Prázný</w:t>
      </w:r>
      <w:proofErr w:type="spellEnd"/>
      <w:r w:rsidRPr="0098666F">
        <w:t xml:space="preserve"> (RVŠ)</w:t>
      </w:r>
    </w:p>
    <w:p w14:paraId="0E2B79F6" w14:textId="69F2BA17" w:rsidR="0098666F" w:rsidRPr="0098666F" w:rsidRDefault="0098666F" w:rsidP="0098666F">
      <w:r w:rsidRPr="0098666F">
        <w:t xml:space="preserve">5. </w:t>
      </w:r>
    </w:p>
    <w:p w14:paraId="1FD9EAB6" w14:textId="77777777" w:rsidR="0098666F" w:rsidRDefault="0098666F" w:rsidP="004C6F0B">
      <w:pPr>
        <w:spacing w:line="288" w:lineRule="auto"/>
        <w:rPr>
          <w:rFonts w:ascii="Arial" w:hAnsi="Arial" w:cs="Arial"/>
          <w:b/>
          <w:sz w:val="28"/>
          <w:szCs w:val="28"/>
        </w:rPr>
      </w:pPr>
    </w:p>
    <w:p w14:paraId="436731EA" w14:textId="17CF98EA" w:rsidR="00F91DAC" w:rsidRPr="00137F8C" w:rsidRDefault="00815D9B" w:rsidP="004C6F0B">
      <w:pPr>
        <w:spacing w:line="288" w:lineRule="auto"/>
        <w:rPr>
          <w:rFonts w:ascii="Arial" w:hAnsi="Arial" w:cs="Arial"/>
          <w:b/>
          <w:sz w:val="28"/>
          <w:szCs w:val="28"/>
        </w:rPr>
      </w:pPr>
      <w:r w:rsidRPr="00137F8C">
        <w:rPr>
          <w:rFonts w:ascii="Arial" w:hAnsi="Arial" w:cs="Arial"/>
          <w:b/>
          <w:sz w:val="28"/>
          <w:szCs w:val="28"/>
        </w:rPr>
        <w:t xml:space="preserve">Návrh revize </w:t>
      </w:r>
      <w:r w:rsidR="00FA2203" w:rsidRPr="00137F8C">
        <w:rPr>
          <w:rFonts w:ascii="Arial" w:hAnsi="Arial" w:cs="Arial"/>
          <w:b/>
          <w:sz w:val="28"/>
          <w:szCs w:val="28"/>
        </w:rPr>
        <w:t>metodických materiálů Národního akreditačního úřadu pro vysoké školství</w:t>
      </w:r>
    </w:p>
    <w:p w14:paraId="68F2C34F" w14:textId="77777777" w:rsidR="00F91DAC" w:rsidRPr="00137F8C" w:rsidRDefault="00F91DAC" w:rsidP="00F91DAC">
      <w:pPr>
        <w:spacing w:before="60" w:line="288" w:lineRule="auto"/>
        <w:jc w:val="both"/>
        <w:rPr>
          <w:sz w:val="10"/>
          <w:szCs w:val="10"/>
        </w:rPr>
      </w:pPr>
    </w:p>
    <w:p w14:paraId="443B9DB8" w14:textId="77777777" w:rsidR="00383DB6" w:rsidRPr="00137F8C" w:rsidRDefault="00A61606" w:rsidP="005A3E94">
      <w:pPr>
        <w:spacing w:line="360" w:lineRule="auto"/>
        <w:jc w:val="both"/>
        <w:outlineLvl w:val="0"/>
        <w:rPr>
          <w:b/>
          <w:bCs/>
        </w:rPr>
      </w:pPr>
      <w:r w:rsidRPr="00137F8C">
        <w:rPr>
          <w:b/>
          <w:bCs/>
        </w:rPr>
        <w:t>P</w:t>
      </w:r>
      <w:r w:rsidR="00383DB6" w:rsidRPr="00137F8C">
        <w:rPr>
          <w:b/>
          <w:bCs/>
        </w:rPr>
        <w:t xml:space="preserve">řipomínky </w:t>
      </w:r>
      <w:r w:rsidR="00F91DAC" w:rsidRPr="00137F8C">
        <w:rPr>
          <w:b/>
          <w:bCs/>
        </w:rPr>
        <w:t xml:space="preserve">členů </w:t>
      </w:r>
      <w:r w:rsidR="00B723BF" w:rsidRPr="00137F8C">
        <w:rPr>
          <w:b/>
          <w:bCs/>
        </w:rPr>
        <w:t>RADY VYSOKÝCH ŠKOL</w:t>
      </w:r>
    </w:p>
    <w:p w14:paraId="2C356D51" w14:textId="77777777" w:rsidR="00DA6BF7" w:rsidRPr="00137F8C" w:rsidRDefault="00DA6BF7" w:rsidP="00815D9B">
      <w:pPr>
        <w:spacing w:after="60"/>
        <w:jc w:val="both"/>
        <w:outlineLvl w:val="0"/>
        <w:rPr>
          <w:b/>
          <w:bCs/>
        </w:rPr>
      </w:pPr>
      <w:r w:rsidRPr="00137F8C">
        <w:rPr>
          <w:b/>
          <w:bCs/>
        </w:rPr>
        <w:t xml:space="preserve">Poznámka: </w:t>
      </w:r>
    </w:p>
    <w:p w14:paraId="18AF8196" w14:textId="77777777" w:rsidR="00DA6BF7" w:rsidRPr="00137F8C" w:rsidRDefault="00DA6BF7" w:rsidP="00815D9B">
      <w:pPr>
        <w:spacing w:after="60"/>
        <w:outlineLvl w:val="0"/>
        <w:rPr>
          <w:bCs/>
          <w:sz w:val="22"/>
          <w:szCs w:val="22"/>
        </w:rPr>
      </w:pPr>
      <w:r w:rsidRPr="00137F8C">
        <w:rPr>
          <w:bCs/>
          <w:sz w:val="22"/>
          <w:szCs w:val="22"/>
        </w:rPr>
        <w:t>Ve sloupci „</w:t>
      </w:r>
      <w:r w:rsidR="00585884" w:rsidRPr="00137F8C">
        <w:rPr>
          <w:bCs/>
          <w:sz w:val="22"/>
          <w:szCs w:val="22"/>
        </w:rPr>
        <w:t>Materiál</w:t>
      </w:r>
      <w:r w:rsidRPr="00137F8C">
        <w:rPr>
          <w:bCs/>
          <w:sz w:val="22"/>
          <w:szCs w:val="22"/>
        </w:rPr>
        <w:t xml:space="preserve">“ uveďte prosím označení </w:t>
      </w:r>
      <w:r w:rsidR="00585884" w:rsidRPr="00137F8C">
        <w:rPr>
          <w:bCs/>
          <w:sz w:val="22"/>
          <w:szCs w:val="22"/>
        </w:rPr>
        <w:t>materiálu</w:t>
      </w:r>
      <w:r w:rsidRPr="00137F8C">
        <w:rPr>
          <w:bCs/>
          <w:sz w:val="22"/>
          <w:szCs w:val="22"/>
        </w:rPr>
        <w:t xml:space="preserve"> (</w:t>
      </w:r>
      <w:r w:rsidR="00921909" w:rsidRPr="00137F8C">
        <w:rPr>
          <w:bCs/>
          <w:sz w:val="22"/>
          <w:szCs w:val="22"/>
        </w:rPr>
        <w:t>a</w:t>
      </w:r>
      <w:r w:rsidRPr="00137F8C">
        <w:rPr>
          <w:bCs/>
          <w:sz w:val="22"/>
          <w:szCs w:val="22"/>
        </w:rPr>
        <w:t xml:space="preserve">, </w:t>
      </w:r>
      <w:r w:rsidR="00921909" w:rsidRPr="00137F8C">
        <w:rPr>
          <w:bCs/>
          <w:sz w:val="22"/>
          <w:szCs w:val="22"/>
        </w:rPr>
        <w:t>b</w:t>
      </w:r>
      <w:r w:rsidRPr="00137F8C">
        <w:rPr>
          <w:bCs/>
          <w:sz w:val="22"/>
          <w:szCs w:val="22"/>
        </w:rPr>
        <w:t xml:space="preserve">, </w:t>
      </w:r>
      <w:r w:rsidR="00921909" w:rsidRPr="00137F8C">
        <w:rPr>
          <w:bCs/>
          <w:sz w:val="22"/>
          <w:szCs w:val="22"/>
        </w:rPr>
        <w:t>c</w:t>
      </w:r>
      <w:r w:rsidR="001A5C5B" w:rsidRPr="00137F8C">
        <w:rPr>
          <w:bCs/>
          <w:sz w:val="22"/>
          <w:szCs w:val="22"/>
        </w:rPr>
        <w:t xml:space="preserve">, </w:t>
      </w:r>
      <w:r w:rsidR="00921909" w:rsidRPr="00137F8C">
        <w:rPr>
          <w:bCs/>
          <w:sz w:val="22"/>
          <w:szCs w:val="22"/>
        </w:rPr>
        <w:t>d</w:t>
      </w:r>
      <w:r w:rsidR="001A5C5B" w:rsidRPr="00137F8C">
        <w:rPr>
          <w:bCs/>
          <w:sz w:val="22"/>
          <w:szCs w:val="22"/>
        </w:rPr>
        <w:t xml:space="preserve">, </w:t>
      </w:r>
      <w:r w:rsidR="00921909" w:rsidRPr="00137F8C">
        <w:rPr>
          <w:bCs/>
          <w:sz w:val="22"/>
          <w:szCs w:val="22"/>
        </w:rPr>
        <w:t>e</w:t>
      </w:r>
      <w:r w:rsidR="001A5C5B" w:rsidRPr="00137F8C">
        <w:rPr>
          <w:bCs/>
          <w:sz w:val="22"/>
          <w:szCs w:val="22"/>
        </w:rPr>
        <w:t xml:space="preserve">, </w:t>
      </w:r>
      <w:r w:rsidR="00921909" w:rsidRPr="00137F8C">
        <w:rPr>
          <w:bCs/>
          <w:sz w:val="22"/>
          <w:szCs w:val="22"/>
        </w:rPr>
        <w:t>f</w:t>
      </w:r>
      <w:r w:rsidR="001A5C5B" w:rsidRPr="00137F8C">
        <w:rPr>
          <w:bCs/>
          <w:sz w:val="22"/>
          <w:szCs w:val="22"/>
        </w:rPr>
        <w:t xml:space="preserve">, </w:t>
      </w:r>
      <w:r w:rsidR="00921909" w:rsidRPr="00137F8C">
        <w:rPr>
          <w:bCs/>
          <w:sz w:val="22"/>
          <w:szCs w:val="22"/>
        </w:rPr>
        <w:t>g</w:t>
      </w:r>
      <w:r w:rsidR="001A5C5B" w:rsidRPr="00137F8C">
        <w:rPr>
          <w:bCs/>
          <w:sz w:val="22"/>
          <w:szCs w:val="22"/>
        </w:rPr>
        <w:t xml:space="preserve">, </w:t>
      </w:r>
      <w:r w:rsidR="00921909" w:rsidRPr="00137F8C">
        <w:rPr>
          <w:bCs/>
          <w:sz w:val="22"/>
          <w:szCs w:val="22"/>
        </w:rPr>
        <w:t>h</w:t>
      </w:r>
      <w:r w:rsidR="001A5C5B" w:rsidRPr="00137F8C">
        <w:rPr>
          <w:bCs/>
          <w:sz w:val="22"/>
          <w:szCs w:val="22"/>
        </w:rPr>
        <w:t xml:space="preserve">, </w:t>
      </w:r>
      <w:r w:rsidR="00921909" w:rsidRPr="00137F8C">
        <w:rPr>
          <w:bCs/>
          <w:sz w:val="22"/>
          <w:szCs w:val="22"/>
        </w:rPr>
        <w:t>i</w:t>
      </w:r>
      <w:r w:rsidRPr="00137F8C">
        <w:rPr>
          <w:bCs/>
          <w:sz w:val="22"/>
          <w:szCs w:val="22"/>
        </w:rPr>
        <w:t>)</w:t>
      </w:r>
      <w:r w:rsidR="0032380C" w:rsidRPr="00137F8C">
        <w:rPr>
          <w:bCs/>
          <w:sz w:val="22"/>
          <w:szCs w:val="22"/>
        </w:rPr>
        <w:t xml:space="preserve"> a/nebo jeho příloh, kterých se připomínky týkají</w:t>
      </w:r>
      <w:r w:rsidR="005B12D2" w:rsidRPr="00137F8C">
        <w:rPr>
          <w:bCs/>
          <w:sz w:val="22"/>
          <w:szCs w:val="22"/>
        </w:rPr>
        <w:t xml:space="preserve"> (k připomínkám je celkem 17 dokumentů)</w:t>
      </w:r>
      <w:r w:rsidRPr="00137F8C">
        <w:rPr>
          <w:bCs/>
          <w:sz w:val="22"/>
          <w:szCs w:val="22"/>
        </w:rPr>
        <w:t>:</w:t>
      </w:r>
    </w:p>
    <w:p w14:paraId="200B2412" w14:textId="77777777" w:rsidR="00DA6BF7" w:rsidRPr="00137F8C" w:rsidRDefault="00585884" w:rsidP="00FA2203">
      <w:pPr>
        <w:numPr>
          <w:ilvl w:val="0"/>
          <w:numId w:val="8"/>
        </w:numPr>
        <w:jc w:val="both"/>
        <w:rPr>
          <w:sz w:val="22"/>
          <w:szCs w:val="22"/>
        </w:rPr>
      </w:pPr>
      <w:r w:rsidRPr="00137F8C">
        <w:rPr>
          <w:sz w:val="22"/>
          <w:szCs w:val="22"/>
        </w:rPr>
        <w:t>Bližší informace a pokyny</w:t>
      </w:r>
      <w:r w:rsidR="00FA2203" w:rsidRPr="00137F8C">
        <w:rPr>
          <w:sz w:val="22"/>
          <w:szCs w:val="22"/>
        </w:rPr>
        <w:t xml:space="preserve"> k údajům požadovaným v přílohách </w:t>
      </w:r>
      <w:r w:rsidRPr="00137F8C">
        <w:rPr>
          <w:sz w:val="22"/>
          <w:szCs w:val="22"/>
        </w:rPr>
        <w:t>A-</w:t>
      </w:r>
      <w:r w:rsidR="00FA2203" w:rsidRPr="00137F8C">
        <w:rPr>
          <w:sz w:val="22"/>
          <w:szCs w:val="22"/>
        </w:rPr>
        <w:t xml:space="preserve">D žádosti o akreditaci studijního programu </w:t>
      </w:r>
      <w:r w:rsidR="0032380C" w:rsidRPr="00137F8C">
        <w:rPr>
          <w:sz w:val="22"/>
          <w:szCs w:val="22"/>
        </w:rPr>
        <w:t>+ přílohy A-E</w:t>
      </w:r>
      <w:r w:rsidRPr="00137F8C">
        <w:rPr>
          <w:sz w:val="22"/>
          <w:szCs w:val="22"/>
        </w:rPr>
        <w:t xml:space="preserve"> </w:t>
      </w:r>
      <w:r w:rsidR="0032380C" w:rsidRPr="00137F8C">
        <w:rPr>
          <w:sz w:val="22"/>
          <w:szCs w:val="22"/>
        </w:rPr>
        <w:t>(</w:t>
      </w:r>
      <w:r w:rsidRPr="00137F8C">
        <w:rPr>
          <w:sz w:val="22"/>
          <w:szCs w:val="22"/>
        </w:rPr>
        <w:t>6 dokumentů</w:t>
      </w:r>
      <w:r w:rsidR="0032380C" w:rsidRPr="00137F8C">
        <w:rPr>
          <w:sz w:val="22"/>
          <w:szCs w:val="22"/>
        </w:rPr>
        <w:t>)</w:t>
      </w:r>
      <w:r w:rsidR="00DA6BF7" w:rsidRPr="00137F8C">
        <w:rPr>
          <w:sz w:val="22"/>
          <w:szCs w:val="22"/>
        </w:rPr>
        <w:t>.</w:t>
      </w:r>
    </w:p>
    <w:p w14:paraId="66739270" w14:textId="77777777" w:rsidR="00DA6BF7" w:rsidRPr="00137F8C" w:rsidRDefault="00FA2203" w:rsidP="00FA2203">
      <w:pPr>
        <w:numPr>
          <w:ilvl w:val="0"/>
          <w:numId w:val="8"/>
        </w:numPr>
        <w:rPr>
          <w:sz w:val="22"/>
          <w:szCs w:val="22"/>
        </w:rPr>
      </w:pPr>
      <w:r w:rsidRPr="00137F8C">
        <w:rPr>
          <w:sz w:val="22"/>
          <w:szCs w:val="22"/>
        </w:rPr>
        <w:t>Metodická pomůcka pro posuzování žádostí o akreditaci studijního programu</w:t>
      </w:r>
      <w:r w:rsidR="0032380C" w:rsidRPr="00137F8C">
        <w:rPr>
          <w:sz w:val="22"/>
          <w:szCs w:val="22"/>
        </w:rPr>
        <w:t xml:space="preserve"> </w:t>
      </w:r>
      <w:r w:rsidR="00C518C5" w:rsidRPr="00137F8C">
        <w:rPr>
          <w:sz w:val="22"/>
          <w:szCs w:val="22"/>
        </w:rPr>
        <w:t>(</w:t>
      </w:r>
      <w:r w:rsidR="0032380C" w:rsidRPr="00137F8C">
        <w:rPr>
          <w:sz w:val="22"/>
          <w:szCs w:val="22"/>
        </w:rPr>
        <w:t>1 dokument</w:t>
      </w:r>
      <w:r w:rsidR="00C518C5" w:rsidRPr="00137F8C">
        <w:rPr>
          <w:sz w:val="22"/>
          <w:szCs w:val="22"/>
        </w:rPr>
        <w:t>)</w:t>
      </w:r>
      <w:r w:rsidR="00DA6BF7" w:rsidRPr="00137F8C">
        <w:rPr>
          <w:sz w:val="22"/>
          <w:szCs w:val="22"/>
        </w:rPr>
        <w:t>.</w:t>
      </w:r>
    </w:p>
    <w:p w14:paraId="7AC5D2F6" w14:textId="77777777" w:rsidR="00DA6BF7" w:rsidRPr="00137F8C" w:rsidRDefault="00FA2203" w:rsidP="00FA2203">
      <w:pPr>
        <w:numPr>
          <w:ilvl w:val="0"/>
          <w:numId w:val="8"/>
        </w:numPr>
        <w:rPr>
          <w:sz w:val="22"/>
          <w:szCs w:val="22"/>
        </w:rPr>
      </w:pPr>
      <w:r w:rsidRPr="00137F8C">
        <w:rPr>
          <w:sz w:val="22"/>
          <w:szCs w:val="22"/>
        </w:rPr>
        <w:t xml:space="preserve">Metodický materiál </w:t>
      </w:r>
      <w:r w:rsidR="0032380C" w:rsidRPr="00137F8C">
        <w:rPr>
          <w:sz w:val="22"/>
          <w:szCs w:val="22"/>
        </w:rPr>
        <w:t>NAÚ</w:t>
      </w:r>
      <w:r w:rsidR="00585884" w:rsidRPr="00137F8C">
        <w:rPr>
          <w:sz w:val="22"/>
          <w:szCs w:val="22"/>
        </w:rPr>
        <w:t xml:space="preserve"> </w:t>
      </w:r>
      <w:r w:rsidRPr="00137F8C">
        <w:rPr>
          <w:sz w:val="22"/>
          <w:szCs w:val="22"/>
        </w:rPr>
        <w:t>k předkládání specifických žádost</w:t>
      </w:r>
      <w:r w:rsidR="00585884" w:rsidRPr="00137F8C">
        <w:rPr>
          <w:sz w:val="22"/>
          <w:szCs w:val="22"/>
        </w:rPr>
        <w:t>í</w:t>
      </w:r>
      <w:r w:rsidRPr="00137F8C">
        <w:rPr>
          <w:sz w:val="22"/>
          <w:szCs w:val="22"/>
        </w:rPr>
        <w:t xml:space="preserve"> o akreditaci studijní</w:t>
      </w:r>
      <w:r w:rsidR="00585884" w:rsidRPr="00137F8C">
        <w:rPr>
          <w:sz w:val="22"/>
          <w:szCs w:val="22"/>
        </w:rPr>
        <w:t>ch programů</w:t>
      </w:r>
      <w:r w:rsidR="0032380C" w:rsidRPr="00137F8C">
        <w:rPr>
          <w:sz w:val="22"/>
          <w:szCs w:val="22"/>
        </w:rPr>
        <w:t xml:space="preserve"> </w:t>
      </w:r>
      <w:r w:rsidR="00C518C5" w:rsidRPr="00137F8C">
        <w:rPr>
          <w:sz w:val="22"/>
          <w:szCs w:val="22"/>
        </w:rPr>
        <w:t>(</w:t>
      </w:r>
      <w:r w:rsidR="0032380C" w:rsidRPr="00137F8C">
        <w:rPr>
          <w:sz w:val="22"/>
          <w:szCs w:val="22"/>
        </w:rPr>
        <w:t>1 dokument</w:t>
      </w:r>
      <w:r w:rsidR="00C518C5" w:rsidRPr="00137F8C">
        <w:rPr>
          <w:sz w:val="22"/>
          <w:szCs w:val="22"/>
        </w:rPr>
        <w:t>)</w:t>
      </w:r>
      <w:r w:rsidR="00DA6BF7" w:rsidRPr="00137F8C">
        <w:rPr>
          <w:sz w:val="22"/>
          <w:szCs w:val="22"/>
        </w:rPr>
        <w:t>.</w:t>
      </w:r>
    </w:p>
    <w:p w14:paraId="123B2660" w14:textId="77777777" w:rsidR="00DA6BF7" w:rsidRPr="00137F8C" w:rsidRDefault="00C518C5" w:rsidP="00FA2203">
      <w:pPr>
        <w:numPr>
          <w:ilvl w:val="0"/>
          <w:numId w:val="8"/>
        </w:numPr>
        <w:rPr>
          <w:sz w:val="22"/>
          <w:szCs w:val="22"/>
        </w:rPr>
      </w:pPr>
      <w:r w:rsidRPr="00137F8C">
        <w:rPr>
          <w:sz w:val="22"/>
          <w:szCs w:val="22"/>
        </w:rPr>
        <w:t>Bližší informace a pokyny</w:t>
      </w:r>
      <w:r w:rsidR="00FA2203" w:rsidRPr="00137F8C">
        <w:rPr>
          <w:sz w:val="22"/>
          <w:szCs w:val="22"/>
        </w:rPr>
        <w:t xml:space="preserve"> k údajům požadovaným v žádosti o akreditaci oboru habilitačního řízení</w:t>
      </w:r>
      <w:r w:rsidRPr="00137F8C">
        <w:rPr>
          <w:sz w:val="22"/>
          <w:szCs w:val="22"/>
        </w:rPr>
        <w:t xml:space="preserve"> </w:t>
      </w:r>
      <w:r w:rsidR="00FA2203" w:rsidRPr="00137F8C">
        <w:rPr>
          <w:sz w:val="22"/>
          <w:szCs w:val="22"/>
        </w:rPr>
        <w:t>/</w:t>
      </w:r>
      <w:r w:rsidRPr="00137F8C">
        <w:rPr>
          <w:sz w:val="22"/>
          <w:szCs w:val="22"/>
        </w:rPr>
        <w:t xml:space="preserve"> </w:t>
      </w:r>
      <w:r w:rsidR="00FA2203" w:rsidRPr="00137F8C">
        <w:rPr>
          <w:sz w:val="22"/>
          <w:szCs w:val="22"/>
        </w:rPr>
        <w:t>řízení ke jmenován</w:t>
      </w:r>
      <w:r w:rsidR="004064DC" w:rsidRPr="00137F8C">
        <w:rPr>
          <w:sz w:val="22"/>
          <w:szCs w:val="22"/>
        </w:rPr>
        <w:t>í</w:t>
      </w:r>
      <w:r w:rsidR="00FA2203" w:rsidRPr="00137F8C">
        <w:rPr>
          <w:sz w:val="22"/>
          <w:szCs w:val="22"/>
        </w:rPr>
        <w:t xml:space="preserve"> profesorem</w:t>
      </w:r>
      <w:r w:rsidRPr="00137F8C">
        <w:rPr>
          <w:sz w:val="22"/>
          <w:szCs w:val="22"/>
        </w:rPr>
        <w:t xml:space="preserve"> + přílohy A-G (2 dokumenty</w:t>
      </w:r>
      <w:r w:rsidR="00FA2203" w:rsidRPr="00137F8C">
        <w:rPr>
          <w:sz w:val="22"/>
          <w:szCs w:val="22"/>
        </w:rPr>
        <w:t>)</w:t>
      </w:r>
      <w:r w:rsidR="00DA6BF7" w:rsidRPr="00137F8C">
        <w:rPr>
          <w:sz w:val="22"/>
          <w:szCs w:val="22"/>
        </w:rPr>
        <w:t>.</w:t>
      </w:r>
    </w:p>
    <w:p w14:paraId="023BDFDC" w14:textId="77777777" w:rsidR="00DA6BF7" w:rsidRPr="00137F8C" w:rsidRDefault="00FA2203" w:rsidP="00FA2203">
      <w:pPr>
        <w:numPr>
          <w:ilvl w:val="0"/>
          <w:numId w:val="8"/>
        </w:numPr>
        <w:rPr>
          <w:sz w:val="22"/>
          <w:szCs w:val="22"/>
        </w:rPr>
      </w:pPr>
      <w:r w:rsidRPr="00137F8C">
        <w:rPr>
          <w:sz w:val="22"/>
          <w:szCs w:val="22"/>
        </w:rPr>
        <w:t>Metodick</w:t>
      </w:r>
      <w:r w:rsidR="00C518C5" w:rsidRPr="00137F8C">
        <w:rPr>
          <w:sz w:val="22"/>
          <w:szCs w:val="22"/>
        </w:rPr>
        <w:t>á pomůcka pro posuzování žádostí</w:t>
      </w:r>
      <w:r w:rsidRPr="00137F8C">
        <w:rPr>
          <w:sz w:val="22"/>
          <w:szCs w:val="22"/>
        </w:rPr>
        <w:t xml:space="preserve"> o akredi</w:t>
      </w:r>
      <w:r w:rsidR="00C518C5" w:rsidRPr="00137F8C">
        <w:rPr>
          <w:sz w:val="22"/>
          <w:szCs w:val="22"/>
        </w:rPr>
        <w:t xml:space="preserve">taci habilitačního řízení a </w:t>
      </w:r>
      <w:r w:rsidRPr="00137F8C">
        <w:rPr>
          <w:sz w:val="22"/>
          <w:szCs w:val="22"/>
        </w:rPr>
        <w:t>řízení ke jmenování profesorem</w:t>
      </w:r>
      <w:r w:rsidR="00C518C5" w:rsidRPr="00137F8C">
        <w:rPr>
          <w:sz w:val="22"/>
          <w:szCs w:val="22"/>
        </w:rPr>
        <w:t xml:space="preserve"> (1 dokument)</w:t>
      </w:r>
      <w:r w:rsidR="00DA6BF7" w:rsidRPr="00137F8C">
        <w:rPr>
          <w:sz w:val="22"/>
          <w:szCs w:val="22"/>
        </w:rPr>
        <w:t>.</w:t>
      </w:r>
    </w:p>
    <w:p w14:paraId="4E07AA20" w14:textId="77777777" w:rsidR="00921909" w:rsidRPr="00137F8C" w:rsidRDefault="00FA2203" w:rsidP="00FA2203">
      <w:pPr>
        <w:numPr>
          <w:ilvl w:val="0"/>
          <w:numId w:val="8"/>
        </w:numPr>
        <w:rPr>
          <w:sz w:val="22"/>
          <w:szCs w:val="22"/>
        </w:rPr>
      </w:pPr>
      <w:r w:rsidRPr="00137F8C">
        <w:rPr>
          <w:sz w:val="22"/>
          <w:szCs w:val="22"/>
        </w:rPr>
        <w:t xml:space="preserve">Metodický materiál </w:t>
      </w:r>
      <w:r w:rsidR="00C518C5" w:rsidRPr="00137F8C">
        <w:rPr>
          <w:sz w:val="22"/>
          <w:szCs w:val="22"/>
        </w:rPr>
        <w:t xml:space="preserve">NAÚ </w:t>
      </w:r>
      <w:r w:rsidRPr="00137F8C">
        <w:rPr>
          <w:sz w:val="22"/>
          <w:szCs w:val="22"/>
        </w:rPr>
        <w:t>k povinnosti vysokých škol informovat o změnách při uskutečňování akreditovaných činností</w:t>
      </w:r>
      <w:r w:rsidR="00C518C5" w:rsidRPr="00137F8C">
        <w:rPr>
          <w:sz w:val="22"/>
          <w:szCs w:val="22"/>
        </w:rPr>
        <w:t xml:space="preserve"> (1 dokument)</w:t>
      </w:r>
      <w:r w:rsidR="00DA6BF7" w:rsidRPr="00137F8C">
        <w:rPr>
          <w:sz w:val="22"/>
          <w:szCs w:val="22"/>
        </w:rPr>
        <w:t>.</w:t>
      </w:r>
    </w:p>
    <w:p w14:paraId="1716781A" w14:textId="77777777" w:rsidR="00921909" w:rsidRPr="00137F8C" w:rsidRDefault="00FA2203" w:rsidP="00FA2203">
      <w:pPr>
        <w:numPr>
          <w:ilvl w:val="0"/>
          <w:numId w:val="8"/>
        </w:numPr>
        <w:rPr>
          <w:sz w:val="22"/>
          <w:szCs w:val="22"/>
        </w:rPr>
      </w:pPr>
      <w:r w:rsidRPr="00137F8C">
        <w:rPr>
          <w:sz w:val="22"/>
          <w:szCs w:val="22"/>
        </w:rPr>
        <w:t xml:space="preserve">Metodický materiál </w:t>
      </w:r>
      <w:r w:rsidR="00C518C5" w:rsidRPr="00137F8C">
        <w:rPr>
          <w:sz w:val="22"/>
          <w:szCs w:val="22"/>
        </w:rPr>
        <w:t xml:space="preserve">NAÚ </w:t>
      </w:r>
      <w:r w:rsidRPr="00137F8C">
        <w:rPr>
          <w:sz w:val="22"/>
          <w:szCs w:val="22"/>
        </w:rPr>
        <w:t>k informační povinnosti vysokých škol s institucionální akreditací</w:t>
      </w:r>
      <w:r w:rsidR="00C518C5" w:rsidRPr="00137F8C">
        <w:rPr>
          <w:sz w:val="22"/>
          <w:szCs w:val="22"/>
        </w:rPr>
        <w:t xml:space="preserve"> (1 dokument)</w:t>
      </w:r>
      <w:r w:rsidR="001A5C5B" w:rsidRPr="00137F8C">
        <w:rPr>
          <w:sz w:val="22"/>
          <w:szCs w:val="22"/>
        </w:rPr>
        <w:t>.</w:t>
      </w:r>
    </w:p>
    <w:p w14:paraId="540A4C32" w14:textId="77777777" w:rsidR="00921909" w:rsidRPr="00137F8C" w:rsidRDefault="00FA2203" w:rsidP="00FA2203">
      <w:pPr>
        <w:numPr>
          <w:ilvl w:val="0"/>
          <w:numId w:val="8"/>
        </w:numPr>
        <w:rPr>
          <w:sz w:val="22"/>
          <w:szCs w:val="22"/>
        </w:rPr>
      </w:pPr>
      <w:r w:rsidRPr="00137F8C">
        <w:rPr>
          <w:sz w:val="22"/>
          <w:szCs w:val="22"/>
        </w:rPr>
        <w:t xml:space="preserve">Metodický materiál </w:t>
      </w:r>
      <w:r w:rsidR="00C518C5" w:rsidRPr="00137F8C">
        <w:rPr>
          <w:sz w:val="22"/>
          <w:szCs w:val="22"/>
        </w:rPr>
        <w:t xml:space="preserve">NAÚ </w:t>
      </w:r>
      <w:r w:rsidRPr="00137F8C">
        <w:rPr>
          <w:sz w:val="22"/>
          <w:szCs w:val="22"/>
        </w:rPr>
        <w:t>pro přípravu a hodnocení žádost</w:t>
      </w:r>
      <w:r w:rsidR="00C518C5" w:rsidRPr="00137F8C">
        <w:rPr>
          <w:sz w:val="22"/>
          <w:szCs w:val="22"/>
        </w:rPr>
        <w:t>í</w:t>
      </w:r>
      <w:r w:rsidRPr="00137F8C">
        <w:rPr>
          <w:sz w:val="22"/>
          <w:szCs w:val="22"/>
        </w:rPr>
        <w:t xml:space="preserve"> o vydání stanoviska k typu vysoké školy</w:t>
      </w:r>
      <w:r w:rsidR="00C518C5" w:rsidRPr="00137F8C">
        <w:rPr>
          <w:sz w:val="22"/>
          <w:szCs w:val="22"/>
        </w:rPr>
        <w:t xml:space="preserve"> (1 dokument)</w:t>
      </w:r>
      <w:r w:rsidR="001A5C5B" w:rsidRPr="00137F8C">
        <w:rPr>
          <w:sz w:val="22"/>
          <w:szCs w:val="22"/>
        </w:rPr>
        <w:t>.</w:t>
      </w:r>
    </w:p>
    <w:p w14:paraId="2A19F055" w14:textId="77777777" w:rsidR="00921909" w:rsidRPr="00137F8C" w:rsidRDefault="00C518C5" w:rsidP="00815D9B">
      <w:pPr>
        <w:numPr>
          <w:ilvl w:val="0"/>
          <w:numId w:val="8"/>
        </w:numPr>
        <w:spacing w:after="60"/>
        <w:ind w:left="357" w:hanging="357"/>
        <w:rPr>
          <w:sz w:val="22"/>
          <w:szCs w:val="22"/>
        </w:rPr>
      </w:pPr>
      <w:r w:rsidRPr="00137F8C">
        <w:rPr>
          <w:sz w:val="22"/>
          <w:szCs w:val="22"/>
        </w:rPr>
        <w:t>Zásady pro</w:t>
      </w:r>
      <w:r w:rsidR="00FA2203" w:rsidRPr="00137F8C">
        <w:rPr>
          <w:sz w:val="22"/>
          <w:szCs w:val="22"/>
        </w:rPr>
        <w:t xml:space="preserve"> posuzování </w:t>
      </w:r>
      <w:r w:rsidRPr="00137F8C">
        <w:rPr>
          <w:sz w:val="22"/>
          <w:szCs w:val="22"/>
        </w:rPr>
        <w:t>splnění podmínek při udělení tuzemského povolení</w:t>
      </w:r>
      <w:r w:rsidR="00FA2203" w:rsidRPr="00137F8C">
        <w:rPr>
          <w:sz w:val="22"/>
          <w:szCs w:val="22"/>
        </w:rPr>
        <w:t xml:space="preserve"> mimoevropský</w:t>
      </w:r>
      <w:r w:rsidRPr="00137F8C">
        <w:rPr>
          <w:sz w:val="22"/>
          <w:szCs w:val="22"/>
        </w:rPr>
        <w:t>m zahraničním</w:t>
      </w:r>
      <w:r w:rsidR="00FA2203" w:rsidRPr="00137F8C">
        <w:rPr>
          <w:sz w:val="22"/>
          <w:szCs w:val="22"/>
        </w:rPr>
        <w:t xml:space="preserve"> vysoký</w:t>
      </w:r>
      <w:r w:rsidRPr="00137F8C">
        <w:rPr>
          <w:sz w:val="22"/>
          <w:szCs w:val="22"/>
        </w:rPr>
        <w:t>m</w:t>
      </w:r>
      <w:r w:rsidR="00FA2203" w:rsidRPr="00137F8C">
        <w:rPr>
          <w:sz w:val="22"/>
          <w:szCs w:val="22"/>
        </w:rPr>
        <w:t xml:space="preserve"> škol</w:t>
      </w:r>
      <w:r w:rsidRPr="00137F8C">
        <w:rPr>
          <w:sz w:val="22"/>
          <w:szCs w:val="22"/>
        </w:rPr>
        <w:t>ám</w:t>
      </w:r>
      <w:r w:rsidR="00FA2203" w:rsidRPr="00137F8C">
        <w:rPr>
          <w:sz w:val="22"/>
          <w:szCs w:val="22"/>
        </w:rPr>
        <w:t xml:space="preserve"> </w:t>
      </w:r>
      <w:r w:rsidRPr="00137F8C">
        <w:rPr>
          <w:sz w:val="22"/>
          <w:szCs w:val="22"/>
        </w:rPr>
        <w:t xml:space="preserve">nebo jejich pobočkám + přílohy 1-2 </w:t>
      </w:r>
      <w:r w:rsidR="005B12D2" w:rsidRPr="00137F8C">
        <w:rPr>
          <w:sz w:val="22"/>
          <w:szCs w:val="22"/>
        </w:rPr>
        <w:t>(3 </w:t>
      </w:r>
      <w:r w:rsidRPr="00137F8C">
        <w:rPr>
          <w:sz w:val="22"/>
          <w:szCs w:val="22"/>
        </w:rPr>
        <w:t>dokumenty</w:t>
      </w:r>
      <w:r w:rsidR="00FA2203" w:rsidRPr="00137F8C">
        <w:rPr>
          <w:sz w:val="22"/>
          <w:szCs w:val="22"/>
        </w:rPr>
        <w:t>)</w:t>
      </w:r>
      <w:r w:rsidR="001A5C5B" w:rsidRPr="00137F8C">
        <w:rPr>
          <w:bCs/>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1915"/>
        <w:gridCol w:w="1685"/>
        <w:gridCol w:w="3887"/>
        <w:gridCol w:w="5149"/>
        <w:gridCol w:w="1963"/>
      </w:tblGrid>
      <w:tr w:rsidR="00DA6BF7" w:rsidRPr="00137F8C" w14:paraId="0BA59C9C" w14:textId="77777777" w:rsidTr="13403F21">
        <w:trPr>
          <w:trHeight w:val="567"/>
          <w:tblHeader/>
        </w:trPr>
        <w:tc>
          <w:tcPr>
            <w:tcW w:w="174" w:type="pct"/>
            <w:shd w:val="clear" w:color="auto" w:fill="E6E6E6"/>
            <w:vAlign w:val="center"/>
          </w:tcPr>
          <w:p w14:paraId="039E9A05" w14:textId="77777777" w:rsidR="00DA6BF7" w:rsidRPr="00137F8C" w:rsidRDefault="00DA6BF7" w:rsidP="00305623">
            <w:pPr>
              <w:spacing w:before="60"/>
              <w:jc w:val="center"/>
              <w:rPr>
                <w:b/>
                <w:bCs/>
                <w:i/>
                <w:sz w:val="22"/>
                <w:szCs w:val="22"/>
              </w:rPr>
            </w:pPr>
            <w:r w:rsidRPr="00137F8C">
              <w:rPr>
                <w:b/>
                <w:bCs/>
                <w:i/>
                <w:sz w:val="22"/>
                <w:szCs w:val="22"/>
              </w:rPr>
              <w:t>Č.</w:t>
            </w:r>
          </w:p>
        </w:tc>
        <w:tc>
          <w:tcPr>
            <w:tcW w:w="633" w:type="pct"/>
            <w:shd w:val="clear" w:color="auto" w:fill="E6E6E6"/>
            <w:vAlign w:val="center"/>
          </w:tcPr>
          <w:p w14:paraId="76876DAE" w14:textId="77777777" w:rsidR="00DA6BF7" w:rsidRPr="00137F8C" w:rsidRDefault="00585884" w:rsidP="00DA6BF7">
            <w:pPr>
              <w:jc w:val="center"/>
              <w:rPr>
                <w:b/>
                <w:bCs/>
                <w:i/>
                <w:sz w:val="22"/>
                <w:szCs w:val="22"/>
              </w:rPr>
            </w:pPr>
            <w:r w:rsidRPr="00137F8C">
              <w:rPr>
                <w:b/>
                <w:bCs/>
                <w:i/>
                <w:sz w:val="22"/>
                <w:szCs w:val="22"/>
              </w:rPr>
              <w:t>Materiál</w:t>
            </w:r>
          </w:p>
          <w:p w14:paraId="4487B16F" w14:textId="77777777" w:rsidR="00DA6BF7" w:rsidRPr="00137F8C" w:rsidRDefault="00921909" w:rsidP="005B12D2">
            <w:pPr>
              <w:jc w:val="center"/>
              <w:rPr>
                <w:b/>
                <w:bCs/>
                <w:i/>
                <w:sz w:val="22"/>
                <w:szCs w:val="22"/>
              </w:rPr>
            </w:pPr>
            <w:r w:rsidRPr="00137F8C">
              <w:rPr>
                <w:b/>
                <w:bCs/>
                <w:i/>
                <w:sz w:val="22"/>
                <w:szCs w:val="22"/>
              </w:rPr>
              <w:t>a</w:t>
            </w:r>
            <w:r w:rsidR="00AC49A0" w:rsidRPr="00137F8C">
              <w:rPr>
                <w:b/>
                <w:bCs/>
                <w:i/>
                <w:sz w:val="22"/>
                <w:szCs w:val="22"/>
              </w:rPr>
              <w:t xml:space="preserve">, </w:t>
            </w:r>
            <w:r w:rsidRPr="00137F8C">
              <w:rPr>
                <w:b/>
                <w:bCs/>
                <w:i/>
                <w:sz w:val="22"/>
                <w:szCs w:val="22"/>
              </w:rPr>
              <w:t>b</w:t>
            </w:r>
            <w:r w:rsidR="00DA6BF7" w:rsidRPr="00137F8C">
              <w:rPr>
                <w:b/>
                <w:bCs/>
                <w:i/>
                <w:sz w:val="22"/>
                <w:szCs w:val="22"/>
              </w:rPr>
              <w:t xml:space="preserve">, </w:t>
            </w:r>
            <w:r w:rsidRPr="00137F8C">
              <w:rPr>
                <w:b/>
                <w:bCs/>
                <w:i/>
                <w:sz w:val="22"/>
                <w:szCs w:val="22"/>
              </w:rPr>
              <w:t>c</w:t>
            </w:r>
            <w:r w:rsidR="00DA6BF7" w:rsidRPr="00137F8C">
              <w:rPr>
                <w:b/>
                <w:bCs/>
                <w:i/>
                <w:sz w:val="22"/>
                <w:szCs w:val="22"/>
              </w:rPr>
              <w:t xml:space="preserve">, </w:t>
            </w:r>
            <w:r w:rsidRPr="00137F8C">
              <w:rPr>
                <w:b/>
                <w:bCs/>
                <w:i/>
                <w:sz w:val="22"/>
                <w:szCs w:val="22"/>
              </w:rPr>
              <w:t>d</w:t>
            </w:r>
            <w:r w:rsidR="00AC49A0" w:rsidRPr="00137F8C">
              <w:rPr>
                <w:b/>
                <w:bCs/>
                <w:i/>
                <w:sz w:val="22"/>
                <w:szCs w:val="22"/>
              </w:rPr>
              <w:t xml:space="preserve">, </w:t>
            </w:r>
            <w:r w:rsidRPr="00137F8C">
              <w:rPr>
                <w:b/>
                <w:bCs/>
                <w:i/>
                <w:sz w:val="22"/>
                <w:szCs w:val="22"/>
              </w:rPr>
              <w:t>e</w:t>
            </w:r>
            <w:r w:rsidR="00AC49A0" w:rsidRPr="00137F8C">
              <w:rPr>
                <w:b/>
                <w:bCs/>
                <w:i/>
                <w:sz w:val="22"/>
                <w:szCs w:val="22"/>
              </w:rPr>
              <w:t xml:space="preserve">, </w:t>
            </w:r>
            <w:r w:rsidRPr="00137F8C">
              <w:rPr>
                <w:b/>
                <w:bCs/>
                <w:i/>
                <w:sz w:val="22"/>
                <w:szCs w:val="22"/>
              </w:rPr>
              <w:t>f</w:t>
            </w:r>
            <w:r w:rsidR="00AC49A0" w:rsidRPr="00137F8C">
              <w:rPr>
                <w:b/>
                <w:bCs/>
                <w:i/>
                <w:sz w:val="22"/>
                <w:szCs w:val="22"/>
              </w:rPr>
              <w:t xml:space="preserve">, </w:t>
            </w:r>
            <w:r w:rsidRPr="00137F8C">
              <w:rPr>
                <w:b/>
                <w:bCs/>
                <w:i/>
                <w:sz w:val="22"/>
                <w:szCs w:val="22"/>
              </w:rPr>
              <w:t>g</w:t>
            </w:r>
            <w:r w:rsidR="00AC49A0" w:rsidRPr="00137F8C">
              <w:rPr>
                <w:b/>
                <w:bCs/>
                <w:i/>
                <w:sz w:val="22"/>
                <w:szCs w:val="22"/>
              </w:rPr>
              <w:t xml:space="preserve">, </w:t>
            </w:r>
            <w:r w:rsidRPr="00137F8C">
              <w:rPr>
                <w:b/>
                <w:bCs/>
                <w:i/>
                <w:sz w:val="22"/>
                <w:szCs w:val="22"/>
              </w:rPr>
              <w:t>h</w:t>
            </w:r>
            <w:r w:rsidR="00AC49A0" w:rsidRPr="00137F8C">
              <w:rPr>
                <w:b/>
                <w:bCs/>
                <w:i/>
                <w:sz w:val="22"/>
                <w:szCs w:val="22"/>
              </w:rPr>
              <w:t xml:space="preserve">, </w:t>
            </w:r>
            <w:r w:rsidRPr="00137F8C">
              <w:rPr>
                <w:b/>
                <w:bCs/>
                <w:i/>
                <w:sz w:val="22"/>
                <w:szCs w:val="22"/>
              </w:rPr>
              <w:t>i</w:t>
            </w:r>
            <w:r w:rsidR="005B12D2" w:rsidRPr="00137F8C">
              <w:rPr>
                <w:b/>
                <w:bCs/>
                <w:i/>
                <w:sz w:val="22"/>
                <w:szCs w:val="22"/>
              </w:rPr>
              <w:t xml:space="preserve"> a/nebo jeho přílohy</w:t>
            </w:r>
          </w:p>
        </w:tc>
        <w:tc>
          <w:tcPr>
            <w:tcW w:w="557" w:type="pct"/>
            <w:shd w:val="clear" w:color="auto" w:fill="E6E6E6"/>
            <w:vAlign w:val="center"/>
          </w:tcPr>
          <w:p w14:paraId="24AEC7AB" w14:textId="77777777" w:rsidR="00DA6BF7" w:rsidRPr="00137F8C" w:rsidRDefault="00DA6BF7" w:rsidP="00C518C5">
            <w:pPr>
              <w:jc w:val="center"/>
              <w:rPr>
                <w:b/>
                <w:bCs/>
                <w:i/>
                <w:sz w:val="22"/>
                <w:szCs w:val="22"/>
              </w:rPr>
            </w:pPr>
            <w:r w:rsidRPr="00137F8C">
              <w:rPr>
                <w:b/>
                <w:bCs/>
                <w:i/>
                <w:sz w:val="22"/>
                <w:szCs w:val="22"/>
              </w:rPr>
              <w:t xml:space="preserve">Strana, popř. </w:t>
            </w:r>
            <w:proofErr w:type="gramStart"/>
            <w:r w:rsidRPr="00137F8C">
              <w:rPr>
                <w:b/>
                <w:bCs/>
                <w:i/>
                <w:sz w:val="22"/>
                <w:szCs w:val="22"/>
              </w:rPr>
              <w:t>číslo</w:t>
            </w:r>
            <w:r w:rsidR="00C518C5" w:rsidRPr="00137F8C">
              <w:rPr>
                <w:b/>
                <w:bCs/>
                <w:i/>
                <w:sz w:val="22"/>
                <w:szCs w:val="22"/>
              </w:rPr>
              <w:t xml:space="preserve"> </w:t>
            </w:r>
            <w:r w:rsidRPr="00137F8C">
              <w:rPr>
                <w:b/>
                <w:bCs/>
                <w:i/>
                <w:sz w:val="22"/>
                <w:szCs w:val="22"/>
              </w:rPr>
              <w:t xml:space="preserve"> odstavce</w:t>
            </w:r>
            <w:proofErr w:type="gramEnd"/>
          </w:p>
        </w:tc>
        <w:tc>
          <w:tcPr>
            <w:tcW w:w="1285" w:type="pct"/>
            <w:shd w:val="clear" w:color="auto" w:fill="E6E6E6"/>
            <w:vAlign w:val="center"/>
          </w:tcPr>
          <w:p w14:paraId="602EA484" w14:textId="77777777" w:rsidR="00DA6BF7" w:rsidRPr="00137F8C" w:rsidRDefault="00DA6BF7" w:rsidP="00305623">
            <w:pPr>
              <w:spacing w:before="60"/>
              <w:jc w:val="center"/>
              <w:rPr>
                <w:b/>
                <w:bCs/>
                <w:i/>
                <w:sz w:val="22"/>
                <w:szCs w:val="22"/>
              </w:rPr>
            </w:pPr>
            <w:r w:rsidRPr="00137F8C">
              <w:rPr>
                <w:b/>
                <w:bCs/>
                <w:i/>
                <w:sz w:val="22"/>
                <w:szCs w:val="22"/>
              </w:rPr>
              <w:t>Podstata připomínky</w:t>
            </w:r>
          </w:p>
        </w:tc>
        <w:tc>
          <w:tcPr>
            <w:tcW w:w="1702" w:type="pct"/>
            <w:shd w:val="clear" w:color="auto" w:fill="E6E6E6"/>
            <w:vAlign w:val="center"/>
          </w:tcPr>
          <w:p w14:paraId="786A3B09" w14:textId="77777777" w:rsidR="00DA6BF7" w:rsidRPr="00137F8C" w:rsidRDefault="00DA6BF7" w:rsidP="00305623">
            <w:pPr>
              <w:spacing w:before="60"/>
              <w:jc w:val="center"/>
              <w:rPr>
                <w:b/>
                <w:bCs/>
                <w:i/>
                <w:sz w:val="22"/>
                <w:szCs w:val="22"/>
              </w:rPr>
            </w:pPr>
            <w:r w:rsidRPr="00137F8C">
              <w:rPr>
                <w:b/>
                <w:bCs/>
                <w:i/>
                <w:sz w:val="22"/>
                <w:szCs w:val="22"/>
              </w:rPr>
              <w:t>Zdůvodnění připomínky</w:t>
            </w:r>
          </w:p>
        </w:tc>
        <w:tc>
          <w:tcPr>
            <w:tcW w:w="649" w:type="pct"/>
            <w:shd w:val="clear" w:color="auto" w:fill="E6E6E6"/>
            <w:vAlign w:val="center"/>
          </w:tcPr>
          <w:p w14:paraId="1E67B55E" w14:textId="77777777" w:rsidR="00DA6BF7" w:rsidRPr="00137F8C" w:rsidRDefault="00DA6BF7" w:rsidP="00305623">
            <w:pPr>
              <w:spacing w:before="60"/>
              <w:jc w:val="center"/>
              <w:rPr>
                <w:b/>
                <w:bCs/>
                <w:i/>
                <w:sz w:val="22"/>
                <w:szCs w:val="22"/>
              </w:rPr>
            </w:pPr>
            <w:r w:rsidRPr="00137F8C">
              <w:rPr>
                <w:b/>
                <w:bCs/>
                <w:i/>
                <w:sz w:val="22"/>
                <w:szCs w:val="22"/>
              </w:rPr>
              <w:t>Vypořádání</w:t>
            </w:r>
          </w:p>
        </w:tc>
      </w:tr>
      <w:tr w:rsidR="00BF3EF9" w:rsidRPr="00137F8C" w14:paraId="402843B5" w14:textId="77777777" w:rsidTr="13403F21">
        <w:trPr>
          <w:trHeight w:val="567"/>
        </w:trPr>
        <w:tc>
          <w:tcPr>
            <w:tcW w:w="174" w:type="pct"/>
          </w:tcPr>
          <w:p w14:paraId="6B75CEC2" w14:textId="77777777" w:rsidR="00BF3EF9" w:rsidRPr="00137F8C" w:rsidRDefault="00BF3EF9" w:rsidP="00BF3EF9">
            <w:pPr>
              <w:numPr>
                <w:ilvl w:val="0"/>
                <w:numId w:val="1"/>
              </w:numPr>
              <w:spacing w:before="20"/>
              <w:rPr>
                <w:b/>
                <w:bCs/>
                <w:sz w:val="22"/>
                <w:szCs w:val="22"/>
              </w:rPr>
            </w:pPr>
          </w:p>
        </w:tc>
        <w:tc>
          <w:tcPr>
            <w:tcW w:w="633" w:type="pct"/>
          </w:tcPr>
          <w:p w14:paraId="2189CA43" w14:textId="77777777" w:rsidR="00BF3EF9" w:rsidRPr="00137F8C" w:rsidRDefault="00BF3EF9" w:rsidP="00BF3EF9">
            <w:pPr>
              <w:spacing w:before="20"/>
              <w:rPr>
                <w:sz w:val="22"/>
                <w:szCs w:val="22"/>
              </w:rPr>
            </w:pPr>
            <w:r w:rsidRPr="00137F8C">
              <w:rPr>
                <w:sz w:val="22"/>
                <w:szCs w:val="22"/>
              </w:rPr>
              <w:t>a</w:t>
            </w:r>
          </w:p>
          <w:p w14:paraId="3E212177" w14:textId="77777777" w:rsidR="00BF3EF9" w:rsidRPr="00137F8C" w:rsidRDefault="00BF3EF9" w:rsidP="00BF3EF9">
            <w:pPr>
              <w:spacing w:before="20"/>
              <w:rPr>
                <w:bCs/>
                <w:iCs/>
                <w:sz w:val="22"/>
                <w:szCs w:val="22"/>
              </w:rPr>
            </w:pPr>
            <w:proofErr w:type="spellStart"/>
            <w:r w:rsidRPr="00137F8C">
              <w:rPr>
                <w:bCs/>
                <w:iCs/>
                <w:sz w:val="22"/>
                <w:szCs w:val="22"/>
              </w:rPr>
              <w:t>metod_a_SP</w:t>
            </w:r>
            <w:proofErr w:type="spellEnd"/>
            <w:r w:rsidRPr="00137F8C">
              <w:rPr>
                <w:bCs/>
                <w:iCs/>
                <w:sz w:val="22"/>
                <w:szCs w:val="22"/>
              </w:rPr>
              <w:t xml:space="preserve"> </w:t>
            </w:r>
            <w:proofErr w:type="spellStart"/>
            <w:r w:rsidRPr="00137F8C">
              <w:rPr>
                <w:bCs/>
                <w:iCs/>
                <w:sz w:val="22"/>
                <w:szCs w:val="22"/>
              </w:rPr>
              <w:t>Rev</w:t>
            </w:r>
            <w:proofErr w:type="spellEnd"/>
            <w:r w:rsidRPr="00137F8C">
              <w:rPr>
                <w:bCs/>
                <w:iCs/>
                <w:sz w:val="22"/>
                <w:szCs w:val="22"/>
              </w:rPr>
              <w:t>-informaci k </w:t>
            </w:r>
            <w:proofErr w:type="spellStart"/>
            <w:r w:rsidRPr="00137F8C">
              <w:rPr>
                <w:bCs/>
                <w:iCs/>
                <w:sz w:val="22"/>
                <w:szCs w:val="22"/>
              </w:rPr>
              <w:t>pril</w:t>
            </w:r>
            <w:proofErr w:type="spellEnd"/>
            <w:r w:rsidRPr="00137F8C">
              <w:rPr>
                <w:bCs/>
                <w:iCs/>
                <w:sz w:val="22"/>
                <w:szCs w:val="22"/>
              </w:rPr>
              <w:t xml:space="preserve"> A-D.docx</w:t>
            </w:r>
          </w:p>
          <w:p w14:paraId="180DA3C1" w14:textId="77777777" w:rsidR="00BF3EF9" w:rsidRPr="00137F8C" w:rsidRDefault="00BF3EF9" w:rsidP="00BF3EF9">
            <w:pPr>
              <w:spacing w:before="20"/>
              <w:rPr>
                <w:bCs/>
                <w:iCs/>
                <w:sz w:val="22"/>
                <w:szCs w:val="22"/>
              </w:rPr>
            </w:pPr>
          </w:p>
        </w:tc>
        <w:tc>
          <w:tcPr>
            <w:tcW w:w="557" w:type="pct"/>
          </w:tcPr>
          <w:p w14:paraId="5E4FEE91" w14:textId="77777777" w:rsidR="00BF3EF9" w:rsidRPr="00137F8C" w:rsidRDefault="00BF3EF9" w:rsidP="00BF3EF9">
            <w:pPr>
              <w:spacing w:before="20"/>
              <w:rPr>
                <w:bCs/>
                <w:iCs/>
                <w:sz w:val="22"/>
                <w:szCs w:val="22"/>
              </w:rPr>
            </w:pPr>
            <w:r w:rsidRPr="00137F8C">
              <w:rPr>
                <w:sz w:val="22"/>
                <w:szCs w:val="22"/>
              </w:rPr>
              <w:t>16</w:t>
            </w:r>
          </w:p>
        </w:tc>
        <w:tc>
          <w:tcPr>
            <w:tcW w:w="1285" w:type="pct"/>
          </w:tcPr>
          <w:p w14:paraId="3B800725" w14:textId="77777777" w:rsidR="00BF3EF9" w:rsidRPr="00137F8C" w:rsidRDefault="00BF3EF9" w:rsidP="00BF3EF9">
            <w:pPr>
              <w:pStyle w:val="Zkladntext"/>
              <w:ind w:left="0" w:right="239"/>
              <w:rPr>
                <w:b/>
                <w:bCs/>
                <w:sz w:val="22"/>
                <w:szCs w:val="22"/>
              </w:rPr>
            </w:pPr>
            <w:r w:rsidRPr="00137F8C">
              <w:rPr>
                <w:b/>
                <w:bCs/>
                <w:sz w:val="22"/>
                <w:szCs w:val="22"/>
              </w:rPr>
              <w:t xml:space="preserve">Odstranit větu: </w:t>
            </w:r>
          </w:p>
          <w:p w14:paraId="399EE172" w14:textId="77777777" w:rsidR="00BF3EF9" w:rsidRPr="00137F8C" w:rsidRDefault="00BF3EF9" w:rsidP="00BF3EF9">
            <w:pPr>
              <w:pStyle w:val="Zkladntext"/>
              <w:ind w:left="0" w:right="239"/>
              <w:rPr>
                <w:i/>
                <w:iCs/>
                <w:sz w:val="22"/>
                <w:szCs w:val="22"/>
              </w:rPr>
            </w:pPr>
            <w:r w:rsidRPr="00137F8C">
              <w:rPr>
                <w:i/>
                <w:iCs/>
                <w:sz w:val="22"/>
                <w:szCs w:val="22"/>
              </w:rPr>
              <w:t>Dále se uvádí H-index, a to pouze při působení vyučujícího v oblastech vzdělávání, kde je to relevantní. H-index nepřidávat do metodik.</w:t>
            </w:r>
          </w:p>
          <w:p w14:paraId="1F3BA570" w14:textId="77777777" w:rsidR="00BF3EF9" w:rsidRPr="00137F8C" w:rsidRDefault="00BF3EF9" w:rsidP="00BF3EF9">
            <w:pPr>
              <w:pStyle w:val="Zkladntext"/>
              <w:ind w:left="0" w:right="239"/>
              <w:rPr>
                <w:b/>
                <w:bCs/>
                <w:color w:val="FF0000"/>
                <w:sz w:val="22"/>
                <w:szCs w:val="22"/>
              </w:rPr>
            </w:pPr>
            <w:r w:rsidRPr="00137F8C">
              <w:rPr>
                <w:b/>
                <w:bCs/>
                <w:color w:val="FF0000"/>
                <w:sz w:val="22"/>
                <w:szCs w:val="22"/>
              </w:rPr>
              <w:t>Zásadní připomínka</w:t>
            </w:r>
          </w:p>
          <w:p w14:paraId="4E46770E" w14:textId="77777777" w:rsidR="00BF3EF9" w:rsidRPr="00137F8C" w:rsidRDefault="00BF3EF9" w:rsidP="00BF3EF9">
            <w:pPr>
              <w:spacing w:before="20"/>
              <w:rPr>
                <w:bCs/>
                <w:iCs/>
                <w:sz w:val="22"/>
                <w:szCs w:val="22"/>
              </w:rPr>
            </w:pPr>
          </w:p>
        </w:tc>
        <w:tc>
          <w:tcPr>
            <w:tcW w:w="1702" w:type="pct"/>
          </w:tcPr>
          <w:p w14:paraId="005224DD" w14:textId="77777777" w:rsidR="00BF3EF9" w:rsidRPr="00137F8C" w:rsidRDefault="00BF3EF9" w:rsidP="00BF3EF9">
            <w:pPr>
              <w:spacing w:before="20"/>
              <w:jc w:val="both"/>
              <w:rPr>
                <w:sz w:val="22"/>
                <w:szCs w:val="22"/>
              </w:rPr>
            </w:pPr>
            <w:r w:rsidRPr="00137F8C">
              <w:rPr>
                <w:sz w:val="22"/>
                <w:szCs w:val="22"/>
              </w:rPr>
              <w:t xml:space="preserve">H-index zcela odstranit, jsou už uvedeny publikace a citace za posledních 5 let. </w:t>
            </w:r>
          </w:p>
          <w:p w14:paraId="6A5CDE6A" w14:textId="77777777" w:rsidR="00BF3EF9" w:rsidRPr="00137F8C" w:rsidRDefault="00BF3EF9" w:rsidP="00BF3EF9">
            <w:pPr>
              <w:spacing w:before="20"/>
              <w:jc w:val="both"/>
              <w:rPr>
                <w:sz w:val="22"/>
                <w:szCs w:val="22"/>
              </w:rPr>
            </w:pPr>
            <w:r w:rsidRPr="00137F8C">
              <w:rPr>
                <w:sz w:val="22"/>
                <w:szCs w:val="22"/>
              </w:rPr>
              <w:t xml:space="preserve">H-index je v současné době podrobován kritice a jsou s ním spojena rizika. </w:t>
            </w:r>
          </w:p>
          <w:p w14:paraId="07CD8831" w14:textId="77777777" w:rsidR="00BF3EF9" w:rsidRPr="00137F8C" w:rsidRDefault="00BF3EF9" w:rsidP="00BF3EF9">
            <w:pPr>
              <w:spacing w:before="20"/>
              <w:rPr>
                <w:bCs/>
                <w:iCs/>
                <w:sz w:val="22"/>
                <w:szCs w:val="22"/>
              </w:rPr>
            </w:pPr>
            <w:r w:rsidRPr="00137F8C">
              <w:rPr>
                <w:sz w:val="22"/>
                <w:szCs w:val="22"/>
              </w:rPr>
              <w:t xml:space="preserve">Jeho uplatňování může vést ke svévoli hodnocení naplnění akreditačních standardů; požadavek zkoumání H-indexu nevyplývá ani ze zákona o vysokých školách, ani z nařízení vlády o standardech pro akreditace ve vysokém školství. U garantů studijních programů nařízení vlády požaduje, aby tito vykonávali „vědeckou“, popř. „tvůrčí“ činnost; u akademických pracovníků akademicky zaměřených studijních programů „tvůrčí“ činnost. Splnění tohoto požadavku je dostatečně prokázáno již seznamem publikací a uvedením citačních ohlasů. Právní předpisy nedávají </w:t>
            </w:r>
            <w:r w:rsidRPr="00137F8C">
              <w:rPr>
                <w:sz w:val="22"/>
                <w:szCs w:val="22"/>
              </w:rPr>
              <w:lastRenderedPageBreak/>
              <w:t xml:space="preserve">další prostor k tomu, aby hodnotitel subjektivně posuzoval různé úrovně tvůrčí, popř. vědecké činnosti, a podle toho se rozhodoval, zda je akreditační standard naplněn, nebo nenaplněn. </w:t>
            </w:r>
          </w:p>
        </w:tc>
        <w:tc>
          <w:tcPr>
            <w:tcW w:w="649" w:type="pct"/>
          </w:tcPr>
          <w:p w14:paraId="72EE6F14" w14:textId="4FFDF79B" w:rsidR="00BF3EF9" w:rsidRPr="00137F8C" w:rsidRDefault="00851F8E" w:rsidP="00BF3EF9">
            <w:pPr>
              <w:spacing w:before="20"/>
              <w:rPr>
                <w:iCs/>
                <w:sz w:val="22"/>
                <w:szCs w:val="22"/>
              </w:rPr>
            </w:pPr>
            <w:r w:rsidRPr="34F5C39D">
              <w:rPr>
                <w:b/>
                <w:bCs/>
                <w:sz w:val="22"/>
                <w:szCs w:val="22"/>
              </w:rPr>
              <w:lastRenderedPageBreak/>
              <w:t>Neakceptováno.</w:t>
            </w:r>
            <w:r w:rsidRPr="34F5C39D">
              <w:rPr>
                <w:sz w:val="22"/>
                <w:szCs w:val="22"/>
              </w:rPr>
              <w:t xml:space="preserve"> H-index je pro posouzení odborné kvalifikace vyučujícího podstatný údaj jako jeden z indikátorů tvůrčího výkonu.</w:t>
            </w:r>
          </w:p>
        </w:tc>
      </w:tr>
      <w:tr w:rsidR="00BF3EF9" w:rsidRPr="00137F8C" w14:paraId="60164AB2" w14:textId="77777777" w:rsidTr="13403F21">
        <w:trPr>
          <w:trHeight w:val="567"/>
        </w:trPr>
        <w:tc>
          <w:tcPr>
            <w:tcW w:w="174" w:type="pct"/>
          </w:tcPr>
          <w:p w14:paraId="63BA50E4" w14:textId="77777777" w:rsidR="00BF3EF9" w:rsidRPr="00137F8C" w:rsidRDefault="00BF3EF9" w:rsidP="00BF3EF9">
            <w:pPr>
              <w:numPr>
                <w:ilvl w:val="0"/>
                <w:numId w:val="1"/>
              </w:numPr>
              <w:spacing w:before="20"/>
              <w:rPr>
                <w:sz w:val="22"/>
                <w:szCs w:val="22"/>
              </w:rPr>
            </w:pPr>
          </w:p>
        </w:tc>
        <w:tc>
          <w:tcPr>
            <w:tcW w:w="633" w:type="pct"/>
          </w:tcPr>
          <w:p w14:paraId="7DBE285F" w14:textId="77777777" w:rsidR="00BF3EF9" w:rsidRPr="00137F8C" w:rsidRDefault="00BF3EF9" w:rsidP="00BF3EF9">
            <w:pPr>
              <w:spacing w:before="20"/>
              <w:rPr>
                <w:sz w:val="22"/>
                <w:szCs w:val="22"/>
              </w:rPr>
            </w:pPr>
            <w:r w:rsidRPr="00137F8C">
              <w:rPr>
                <w:sz w:val="22"/>
                <w:szCs w:val="22"/>
              </w:rPr>
              <w:t>a</w:t>
            </w:r>
          </w:p>
          <w:p w14:paraId="031FB3C9" w14:textId="77777777" w:rsidR="00BF3EF9" w:rsidRPr="00137F8C" w:rsidRDefault="00BF3EF9" w:rsidP="00BF3EF9">
            <w:pPr>
              <w:spacing w:before="20"/>
              <w:rPr>
                <w:bCs/>
                <w:iCs/>
                <w:sz w:val="22"/>
                <w:szCs w:val="22"/>
              </w:rPr>
            </w:pPr>
            <w:proofErr w:type="spellStart"/>
            <w:r w:rsidRPr="00137F8C">
              <w:rPr>
                <w:bCs/>
                <w:iCs/>
                <w:sz w:val="22"/>
                <w:szCs w:val="22"/>
              </w:rPr>
              <w:t>metod_a_SP</w:t>
            </w:r>
            <w:proofErr w:type="spellEnd"/>
            <w:r w:rsidRPr="00137F8C">
              <w:rPr>
                <w:bCs/>
                <w:iCs/>
                <w:sz w:val="22"/>
                <w:szCs w:val="22"/>
              </w:rPr>
              <w:t xml:space="preserve"> </w:t>
            </w:r>
            <w:proofErr w:type="spellStart"/>
            <w:r w:rsidRPr="00137F8C">
              <w:rPr>
                <w:bCs/>
                <w:iCs/>
                <w:sz w:val="22"/>
                <w:szCs w:val="22"/>
              </w:rPr>
              <w:t>Rev</w:t>
            </w:r>
            <w:proofErr w:type="spellEnd"/>
            <w:r w:rsidRPr="00137F8C">
              <w:rPr>
                <w:bCs/>
                <w:iCs/>
                <w:sz w:val="22"/>
                <w:szCs w:val="22"/>
              </w:rPr>
              <w:t>-informaci k </w:t>
            </w:r>
            <w:proofErr w:type="spellStart"/>
            <w:r w:rsidRPr="00137F8C">
              <w:rPr>
                <w:bCs/>
                <w:iCs/>
                <w:sz w:val="22"/>
                <w:szCs w:val="22"/>
              </w:rPr>
              <w:t>pril</w:t>
            </w:r>
            <w:proofErr w:type="spellEnd"/>
            <w:r w:rsidRPr="00137F8C">
              <w:rPr>
                <w:bCs/>
                <w:iCs/>
                <w:sz w:val="22"/>
                <w:szCs w:val="22"/>
              </w:rPr>
              <w:t xml:space="preserve"> A-D.docx</w:t>
            </w:r>
          </w:p>
          <w:p w14:paraId="7240CF74" w14:textId="77777777" w:rsidR="00BF3EF9" w:rsidRPr="00137F8C" w:rsidRDefault="00BF3EF9" w:rsidP="00BF3EF9">
            <w:pPr>
              <w:spacing w:before="20"/>
              <w:rPr>
                <w:bCs/>
                <w:iCs/>
                <w:sz w:val="22"/>
                <w:szCs w:val="22"/>
              </w:rPr>
            </w:pPr>
          </w:p>
        </w:tc>
        <w:tc>
          <w:tcPr>
            <w:tcW w:w="557" w:type="pct"/>
          </w:tcPr>
          <w:p w14:paraId="3B638024" w14:textId="77777777" w:rsidR="00BF3EF9" w:rsidRPr="00137F8C" w:rsidRDefault="00BF3EF9" w:rsidP="00BF3EF9">
            <w:pPr>
              <w:spacing w:before="20"/>
              <w:rPr>
                <w:bCs/>
                <w:iCs/>
                <w:sz w:val="22"/>
                <w:szCs w:val="22"/>
              </w:rPr>
            </w:pPr>
            <w:r w:rsidRPr="00137F8C">
              <w:rPr>
                <w:sz w:val="22"/>
                <w:szCs w:val="22"/>
              </w:rPr>
              <w:t>17</w:t>
            </w:r>
          </w:p>
        </w:tc>
        <w:tc>
          <w:tcPr>
            <w:tcW w:w="1285" w:type="pct"/>
          </w:tcPr>
          <w:p w14:paraId="7337BE51" w14:textId="77777777" w:rsidR="00F1447D" w:rsidRPr="00137F8C" w:rsidRDefault="00BF3EF9" w:rsidP="00BF3EF9">
            <w:pPr>
              <w:pStyle w:val="Zkladntext"/>
              <w:ind w:left="0" w:right="239"/>
              <w:rPr>
                <w:sz w:val="22"/>
                <w:szCs w:val="22"/>
              </w:rPr>
            </w:pPr>
            <w:r w:rsidRPr="00137F8C">
              <w:rPr>
                <w:b/>
                <w:bCs/>
                <w:sz w:val="22"/>
                <w:szCs w:val="22"/>
              </w:rPr>
              <w:t>Odstranit větu</w:t>
            </w:r>
            <w:r w:rsidRPr="00137F8C">
              <w:rPr>
                <w:sz w:val="22"/>
                <w:szCs w:val="22"/>
              </w:rPr>
              <w:t xml:space="preserve">: </w:t>
            </w:r>
          </w:p>
          <w:p w14:paraId="3C8D1014" w14:textId="77777777" w:rsidR="00BF3EF9" w:rsidRPr="00137F8C" w:rsidRDefault="00BF3EF9" w:rsidP="00BF3EF9">
            <w:pPr>
              <w:pStyle w:val="Zkladntext"/>
              <w:ind w:left="0" w:right="239"/>
              <w:rPr>
                <w:i/>
                <w:iCs/>
                <w:sz w:val="22"/>
                <w:szCs w:val="22"/>
              </w:rPr>
            </w:pPr>
            <w:r w:rsidRPr="00137F8C">
              <w:rPr>
                <w:i/>
                <w:iCs/>
                <w:sz w:val="22"/>
                <w:szCs w:val="22"/>
              </w:rPr>
              <w:t>V relevantních případech se uvádí i kvartil.</w:t>
            </w:r>
          </w:p>
          <w:p w14:paraId="0AAEA36A" w14:textId="77777777" w:rsidR="00BF3EF9" w:rsidRPr="00137F8C" w:rsidRDefault="00BF3EF9" w:rsidP="00BF3EF9">
            <w:pPr>
              <w:spacing w:before="20"/>
              <w:rPr>
                <w:bCs/>
                <w:iCs/>
                <w:sz w:val="22"/>
                <w:szCs w:val="22"/>
              </w:rPr>
            </w:pPr>
            <w:r w:rsidRPr="00137F8C">
              <w:rPr>
                <w:b/>
                <w:bCs/>
                <w:color w:val="FF0000"/>
                <w:sz w:val="22"/>
                <w:szCs w:val="22"/>
              </w:rPr>
              <w:t>Zásadní připomínka</w:t>
            </w:r>
          </w:p>
        </w:tc>
        <w:tc>
          <w:tcPr>
            <w:tcW w:w="1702" w:type="pct"/>
          </w:tcPr>
          <w:p w14:paraId="68BFCC4F" w14:textId="77777777" w:rsidR="00BF3EF9" w:rsidRPr="00137F8C" w:rsidRDefault="00BF3EF9" w:rsidP="00BF3EF9">
            <w:pPr>
              <w:spacing w:before="20"/>
              <w:jc w:val="both"/>
              <w:rPr>
                <w:sz w:val="22"/>
                <w:szCs w:val="22"/>
              </w:rPr>
            </w:pPr>
            <w:r w:rsidRPr="00137F8C">
              <w:rPr>
                <w:sz w:val="22"/>
                <w:szCs w:val="22"/>
              </w:rPr>
              <w:t xml:space="preserve">Nezařazovat další charakteristiky, jsou už uvedeny publikace a citace za posledních 5 let. Uplatňovat odborné kvality a odbornou autoritu hodnotitelů. </w:t>
            </w:r>
          </w:p>
          <w:p w14:paraId="210DD263" w14:textId="77777777" w:rsidR="00BF3EF9" w:rsidRPr="00137F8C" w:rsidRDefault="00BF3EF9" w:rsidP="00BF3EF9">
            <w:pPr>
              <w:spacing w:before="20"/>
              <w:rPr>
                <w:bCs/>
                <w:iCs/>
                <w:sz w:val="22"/>
                <w:szCs w:val="22"/>
              </w:rPr>
            </w:pPr>
            <w:r w:rsidRPr="00137F8C">
              <w:rPr>
                <w:sz w:val="22"/>
                <w:szCs w:val="22"/>
              </w:rPr>
              <w:t>Uplatňování „kvartilu“ může vést ke svévoli hodnocení naplnění akreditačních standardů; požadavek zkoumání kvartilu nevyplývá ani ze zákona o vysokých školách, ani z nařízení vlády o standardech pro akreditace ve vysokém školství. U garantů studijních programů nařízení vlády požaduje, aby tito vykonávali „vědeckou“, popř. „tvůrčí“ činnost; u akademických pracovníků akademicky zaměřených studijních programů „tvůrčí“ činnost. Splnění tohoto požadavku je dostatečně prokázáno již seznamem publikací a uvedením citačních ohlasů. Právní předpisy nedávají další prostor k tomu, aby hodnotitel subjektivně posuzoval různé úrovně tvůrčí, popř. vědecké činnosti, a podle toho se rozhodoval, zda je akreditační standard naplněn, nebo nenaplněn.</w:t>
            </w:r>
          </w:p>
        </w:tc>
        <w:tc>
          <w:tcPr>
            <w:tcW w:w="649" w:type="pct"/>
          </w:tcPr>
          <w:p w14:paraId="622CB598" w14:textId="77777777" w:rsidR="006D24F8" w:rsidRDefault="006D24F8" w:rsidP="006D24F8">
            <w:pPr>
              <w:spacing w:before="20"/>
              <w:rPr>
                <w:sz w:val="22"/>
                <w:szCs w:val="22"/>
              </w:rPr>
            </w:pPr>
            <w:r>
              <w:rPr>
                <w:b/>
                <w:bCs/>
                <w:sz w:val="22"/>
                <w:szCs w:val="22"/>
              </w:rPr>
              <w:t>Neakceptováno</w:t>
            </w:r>
            <w:r w:rsidRPr="34F5C39D">
              <w:rPr>
                <w:sz w:val="22"/>
                <w:szCs w:val="22"/>
              </w:rPr>
              <w:t xml:space="preserve">. </w:t>
            </w:r>
            <w:r>
              <w:rPr>
                <w:sz w:val="22"/>
                <w:szCs w:val="22"/>
              </w:rPr>
              <w:t>Uvedení kvartilu do žádosti o akreditaci má za cíl napomoci a usnadnit hodnotitelům posuzování žádosti. Jedná se o jeden z indikátorů úrovně tvůrčí činnosti vyučujících.</w:t>
            </w:r>
          </w:p>
          <w:p w14:paraId="2A4CD1B8" w14:textId="7BF08063" w:rsidR="00BF3EF9" w:rsidRPr="00137F8C" w:rsidRDefault="006D24F8" w:rsidP="006D24F8">
            <w:pPr>
              <w:spacing w:before="20"/>
              <w:rPr>
                <w:iCs/>
                <w:sz w:val="22"/>
                <w:szCs w:val="22"/>
              </w:rPr>
            </w:pPr>
            <w:r>
              <w:rPr>
                <w:iCs/>
                <w:sz w:val="22"/>
                <w:szCs w:val="22"/>
              </w:rPr>
              <w:t xml:space="preserve">Apel na uplatnění odborné autority hodnotitelů a obavu ze subjektivního posuzování poskytnutím většího rozsahu údajů hodnotitelům, vyjádřené v této připomínce, považuje NAÚ </w:t>
            </w:r>
            <w:r w:rsidR="00CD4183">
              <w:rPr>
                <w:iCs/>
                <w:sz w:val="22"/>
                <w:szCs w:val="22"/>
              </w:rPr>
              <w:t xml:space="preserve">za </w:t>
            </w:r>
            <w:r>
              <w:rPr>
                <w:iCs/>
                <w:sz w:val="22"/>
                <w:szCs w:val="22"/>
              </w:rPr>
              <w:t>vzájemně rozporné.</w:t>
            </w:r>
          </w:p>
        </w:tc>
      </w:tr>
      <w:tr w:rsidR="00BF3EF9" w:rsidRPr="00137F8C" w14:paraId="35B9A763" w14:textId="77777777" w:rsidTr="13403F21">
        <w:trPr>
          <w:trHeight w:val="567"/>
        </w:trPr>
        <w:tc>
          <w:tcPr>
            <w:tcW w:w="174" w:type="pct"/>
          </w:tcPr>
          <w:p w14:paraId="523C7A1C" w14:textId="77777777" w:rsidR="00BF3EF9" w:rsidRPr="00137F8C" w:rsidRDefault="00BF3EF9" w:rsidP="00BF3EF9">
            <w:pPr>
              <w:numPr>
                <w:ilvl w:val="0"/>
                <w:numId w:val="1"/>
              </w:numPr>
              <w:spacing w:before="20"/>
              <w:rPr>
                <w:sz w:val="22"/>
                <w:szCs w:val="22"/>
              </w:rPr>
            </w:pPr>
          </w:p>
        </w:tc>
        <w:tc>
          <w:tcPr>
            <w:tcW w:w="633" w:type="pct"/>
          </w:tcPr>
          <w:p w14:paraId="75257024" w14:textId="77777777" w:rsidR="00BF3EF9" w:rsidRPr="00137F8C" w:rsidRDefault="00BF3EF9" w:rsidP="00BF3EF9">
            <w:pPr>
              <w:spacing w:before="20"/>
              <w:rPr>
                <w:bCs/>
                <w:iCs/>
                <w:sz w:val="22"/>
                <w:szCs w:val="22"/>
              </w:rPr>
            </w:pPr>
            <w:r w:rsidRPr="00137F8C">
              <w:rPr>
                <w:bCs/>
                <w:iCs/>
                <w:sz w:val="22"/>
                <w:szCs w:val="22"/>
              </w:rPr>
              <w:t>a</w:t>
            </w:r>
          </w:p>
          <w:p w14:paraId="384C0B77" w14:textId="77777777" w:rsidR="00BF3EF9" w:rsidRPr="00137F8C" w:rsidRDefault="00BF3EF9" w:rsidP="00BF3EF9">
            <w:pPr>
              <w:spacing w:before="20"/>
              <w:rPr>
                <w:bCs/>
                <w:iCs/>
                <w:sz w:val="22"/>
                <w:szCs w:val="22"/>
              </w:rPr>
            </w:pPr>
          </w:p>
          <w:p w14:paraId="5860ADC5" w14:textId="77777777" w:rsidR="00BF3EF9" w:rsidRPr="00137F8C" w:rsidRDefault="00BF3EF9" w:rsidP="00BF3EF9">
            <w:pPr>
              <w:spacing w:before="20"/>
              <w:rPr>
                <w:bCs/>
                <w:iCs/>
                <w:sz w:val="22"/>
                <w:szCs w:val="22"/>
              </w:rPr>
            </w:pPr>
            <w:r w:rsidRPr="00137F8C">
              <w:rPr>
                <w:bCs/>
                <w:iCs/>
                <w:sz w:val="22"/>
                <w:szCs w:val="22"/>
              </w:rPr>
              <w:t>a, příloha C</w:t>
            </w:r>
          </w:p>
        </w:tc>
        <w:tc>
          <w:tcPr>
            <w:tcW w:w="557" w:type="pct"/>
          </w:tcPr>
          <w:p w14:paraId="0FF73ABB" w14:textId="77777777" w:rsidR="00BF3EF9" w:rsidRPr="00137F8C" w:rsidRDefault="00BF3EF9" w:rsidP="00BF3EF9">
            <w:pPr>
              <w:spacing w:before="20"/>
              <w:rPr>
                <w:bCs/>
                <w:iCs/>
                <w:sz w:val="22"/>
                <w:szCs w:val="22"/>
              </w:rPr>
            </w:pPr>
            <w:r w:rsidRPr="00137F8C">
              <w:rPr>
                <w:bCs/>
                <w:iCs/>
                <w:sz w:val="22"/>
                <w:szCs w:val="22"/>
              </w:rPr>
              <w:t>15</w:t>
            </w:r>
          </w:p>
        </w:tc>
        <w:tc>
          <w:tcPr>
            <w:tcW w:w="1285" w:type="pct"/>
          </w:tcPr>
          <w:p w14:paraId="1A94DB72" w14:textId="77777777" w:rsidR="00BF3EF9" w:rsidRPr="00137F8C" w:rsidRDefault="00BF3EF9" w:rsidP="00BF3EF9">
            <w:pPr>
              <w:spacing w:before="20"/>
              <w:rPr>
                <w:bCs/>
                <w:iCs/>
                <w:sz w:val="22"/>
                <w:szCs w:val="22"/>
              </w:rPr>
            </w:pPr>
            <w:r w:rsidRPr="00137F8C">
              <w:rPr>
                <w:bCs/>
                <w:iCs/>
                <w:sz w:val="22"/>
                <w:szCs w:val="22"/>
              </w:rPr>
              <w:t>Posouzení vytíženosti garanta ZT/PZ předmětů prostřednictvím vykázání zapojení do výuky do dalších studijních programů.</w:t>
            </w:r>
          </w:p>
          <w:p w14:paraId="5BB37124" w14:textId="77777777" w:rsidR="00BF3EF9" w:rsidRPr="00137F8C" w:rsidRDefault="00BF3EF9" w:rsidP="00BF3EF9">
            <w:pPr>
              <w:spacing w:before="20"/>
              <w:rPr>
                <w:bCs/>
                <w:iCs/>
                <w:sz w:val="22"/>
                <w:szCs w:val="22"/>
              </w:rPr>
            </w:pPr>
            <w:r w:rsidRPr="00137F8C">
              <w:rPr>
                <w:b/>
                <w:iCs/>
                <w:color w:val="FF0000"/>
                <w:sz w:val="22"/>
                <w:szCs w:val="22"/>
              </w:rPr>
              <w:t>Zásadní připomínka</w:t>
            </w:r>
          </w:p>
        </w:tc>
        <w:tc>
          <w:tcPr>
            <w:tcW w:w="1702" w:type="pct"/>
          </w:tcPr>
          <w:p w14:paraId="0E084BEC" w14:textId="77777777" w:rsidR="00BF3EF9" w:rsidRPr="00137F8C" w:rsidRDefault="00BF3EF9" w:rsidP="00BF3EF9">
            <w:pPr>
              <w:spacing w:before="20"/>
              <w:rPr>
                <w:bCs/>
                <w:iCs/>
                <w:sz w:val="22"/>
                <w:szCs w:val="22"/>
              </w:rPr>
            </w:pPr>
            <w:r w:rsidRPr="00137F8C">
              <w:rPr>
                <w:sz w:val="22"/>
                <w:szCs w:val="22"/>
              </w:rPr>
              <w:t xml:space="preserve">Jde o velmi problematickou pasáž, neboť v rámci kreditního systému je de facto každý předmět zapojen do všech studijních programů. A pomineme-li možnost volitelných předmětů, i tak se na jednom (např. povinném) předmětu mohou v rámci společné výuky sejít studenti vícero studijních programů. Toto je typické zejména pro součásti univerzit, které se orientují na exportní výuku. Proto zapojení garanta působící navenek jako zapojení ve více studijních programech, </w:t>
            </w:r>
            <w:r w:rsidRPr="00137F8C">
              <w:rPr>
                <w:sz w:val="22"/>
                <w:szCs w:val="22"/>
              </w:rPr>
              <w:lastRenderedPageBreak/>
              <w:t>může být v realitě jen vedení společné přednášky více studijních programů. Nebylo by lepší tedy vytíženost garanta předmětu vyjádřit v hodinách uskutečněné výuky?</w:t>
            </w:r>
          </w:p>
        </w:tc>
        <w:tc>
          <w:tcPr>
            <w:tcW w:w="649" w:type="pct"/>
          </w:tcPr>
          <w:p w14:paraId="6F55480A" w14:textId="6D9B676E" w:rsidR="00BF3EF9" w:rsidRPr="00137F8C" w:rsidRDefault="0EE66FBC" w:rsidP="13403F21">
            <w:pPr>
              <w:spacing w:before="20"/>
              <w:rPr>
                <w:sz w:val="22"/>
                <w:szCs w:val="22"/>
              </w:rPr>
            </w:pPr>
            <w:r w:rsidRPr="13403F21">
              <w:rPr>
                <w:b/>
                <w:bCs/>
                <w:sz w:val="22"/>
                <w:szCs w:val="22"/>
              </w:rPr>
              <w:lastRenderedPageBreak/>
              <w:t>Akceptováno částečně</w:t>
            </w:r>
            <w:r w:rsidRPr="13403F21">
              <w:rPr>
                <w:sz w:val="22"/>
                <w:szCs w:val="22"/>
              </w:rPr>
              <w:t>. Formulace budou upraveny na “</w:t>
            </w:r>
            <w:r w:rsidRPr="00F85FF9">
              <w:rPr>
                <w:sz w:val="22"/>
                <w:szCs w:val="22"/>
              </w:rPr>
              <w:t xml:space="preserve">Za účelem možnosti posoudit celkové časové vytížení a kapacitní možnosti garantů ZT a PZ </w:t>
            </w:r>
            <w:r w:rsidRPr="00F85FF9">
              <w:rPr>
                <w:sz w:val="22"/>
                <w:szCs w:val="22"/>
              </w:rPr>
              <w:lastRenderedPageBreak/>
              <w:t>předmětů se uvádí všechny další studijní předměty na téže vysoké škole, do jejichž výuky je nebo v případě úspěšné akreditace bude tento vyučující zapojen jako garant, přednášející nebo cvičící. Neuvádějí se ZT a PZ předměty studijního programu zařazené i do dalších studijních programů.” Dále “...; lze uvést i celkový počet hodin za semestr, které vyučující bude vyučovat v daném studijním předmětu”. Počet</w:t>
            </w:r>
            <w:r w:rsidRPr="13403F21">
              <w:rPr>
                <w:sz w:val="22"/>
                <w:szCs w:val="22"/>
              </w:rPr>
              <w:t xml:space="preserve"> hodin za semestr bude tedy nepovinný údaj.</w:t>
            </w:r>
          </w:p>
        </w:tc>
      </w:tr>
      <w:tr w:rsidR="00404122" w:rsidRPr="00137F8C" w14:paraId="204CD426" w14:textId="77777777" w:rsidTr="13403F21">
        <w:trPr>
          <w:trHeight w:val="567"/>
        </w:trPr>
        <w:tc>
          <w:tcPr>
            <w:tcW w:w="174" w:type="pct"/>
          </w:tcPr>
          <w:p w14:paraId="2E574F44" w14:textId="77777777" w:rsidR="00404122" w:rsidRPr="00137F8C" w:rsidRDefault="00404122" w:rsidP="00404122">
            <w:pPr>
              <w:numPr>
                <w:ilvl w:val="0"/>
                <w:numId w:val="1"/>
              </w:numPr>
              <w:spacing w:before="20"/>
              <w:rPr>
                <w:sz w:val="22"/>
                <w:szCs w:val="22"/>
              </w:rPr>
            </w:pPr>
          </w:p>
        </w:tc>
        <w:tc>
          <w:tcPr>
            <w:tcW w:w="633" w:type="pct"/>
          </w:tcPr>
          <w:p w14:paraId="6688B66C" w14:textId="77777777" w:rsidR="00404122" w:rsidRPr="00137F8C" w:rsidRDefault="00404122" w:rsidP="00404122">
            <w:pPr>
              <w:spacing w:before="20"/>
              <w:rPr>
                <w:bCs/>
                <w:iCs/>
                <w:sz w:val="22"/>
                <w:szCs w:val="22"/>
              </w:rPr>
            </w:pPr>
            <w:r w:rsidRPr="00137F8C">
              <w:rPr>
                <w:sz w:val="22"/>
                <w:szCs w:val="22"/>
              </w:rPr>
              <w:t>b, C-II</w:t>
            </w:r>
          </w:p>
        </w:tc>
        <w:tc>
          <w:tcPr>
            <w:tcW w:w="557" w:type="pct"/>
          </w:tcPr>
          <w:p w14:paraId="25CB3B75" w14:textId="77777777" w:rsidR="00404122" w:rsidRPr="00137F8C" w:rsidRDefault="00404122" w:rsidP="00404122">
            <w:pPr>
              <w:spacing w:before="20"/>
              <w:rPr>
                <w:bCs/>
                <w:iCs/>
                <w:sz w:val="22"/>
                <w:szCs w:val="22"/>
              </w:rPr>
            </w:pPr>
            <w:r w:rsidRPr="00137F8C">
              <w:rPr>
                <w:sz w:val="22"/>
                <w:szCs w:val="22"/>
              </w:rPr>
              <w:t>12</w:t>
            </w:r>
          </w:p>
        </w:tc>
        <w:tc>
          <w:tcPr>
            <w:tcW w:w="1285" w:type="pct"/>
          </w:tcPr>
          <w:p w14:paraId="00B4B267" w14:textId="77777777" w:rsidR="00404122" w:rsidRPr="00137F8C" w:rsidRDefault="00404122" w:rsidP="00404122">
            <w:pPr>
              <w:spacing w:before="20"/>
            </w:pPr>
            <w:r w:rsidRPr="00137F8C">
              <w:t>Nezapočítávají se granty a projekty rozvojového charakteru (typicky o operační</w:t>
            </w:r>
            <w:r w:rsidRPr="00137F8C">
              <w:rPr>
                <w:strike/>
              </w:rPr>
              <w:t>ch</w:t>
            </w:r>
            <w:r w:rsidRPr="00137F8C">
              <w:t xml:space="preserve"> programů EU) ani interní granty a projekty zadané v rámci vysoké školy. </w:t>
            </w:r>
          </w:p>
          <w:p w14:paraId="2F2CC40E" w14:textId="77777777" w:rsidR="00404122" w:rsidRPr="00137F8C" w:rsidRDefault="00404122" w:rsidP="00404122">
            <w:pPr>
              <w:spacing w:before="20"/>
            </w:pPr>
            <w:r w:rsidRPr="00137F8C">
              <w:rPr>
                <w:b/>
                <w:bCs/>
              </w:rPr>
              <w:t>Doplnit:</w:t>
            </w:r>
            <w:r w:rsidRPr="00137F8C">
              <w:t xml:space="preserve"> „</w:t>
            </w:r>
            <w:r w:rsidRPr="00137F8C">
              <w:rPr>
                <w:i/>
                <w:iCs/>
              </w:rPr>
              <w:t xml:space="preserve">V případě státních vysokých </w:t>
            </w:r>
            <w:r w:rsidRPr="00137F8C">
              <w:rPr>
                <w:i/>
                <w:iCs/>
              </w:rPr>
              <w:lastRenderedPageBreak/>
              <w:t>škol se započítávají výzkumné projekty schválené příslušnými resortními ministerstvy (Ministerstvo obrany, Ministerstvo vnitra)</w:t>
            </w:r>
            <w:r w:rsidRPr="00137F8C">
              <w:t>.“</w:t>
            </w:r>
          </w:p>
          <w:p w14:paraId="636A0E1F" w14:textId="77777777" w:rsidR="00F1447D" w:rsidRPr="00137F8C" w:rsidRDefault="00F1447D" w:rsidP="00404122">
            <w:pPr>
              <w:spacing w:before="20"/>
            </w:pPr>
          </w:p>
          <w:p w14:paraId="76ACBA13" w14:textId="77777777" w:rsidR="00404122" w:rsidRPr="00137F8C" w:rsidRDefault="00404122" w:rsidP="00404122">
            <w:pPr>
              <w:spacing w:before="20"/>
            </w:pPr>
            <w:r w:rsidRPr="00137F8C">
              <w:t>Nutno upravit ve všech metodikách!</w:t>
            </w:r>
          </w:p>
          <w:p w14:paraId="5B6B6855" w14:textId="77777777" w:rsidR="00404122" w:rsidRPr="00137F8C" w:rsidRDefault="00404122" w:rsidP="00404122">
            <w:pPr>
              <w:spacing w:before="20"/>
              <w:rPr>
                <w:bCs/>
                <w:iCs/>
                <w:sz w:val="22"/>
                <w:szCs w:val="22"/>
              </w:rPr>
            </w:pPr>
            <w:r w:rsidRPr="00137F8C">
              <w:rPr>
                <w:b/>
                <w:bCs/>
                <w:color w:val="FF0000"/>
              </w:rPr>
              <w:t>Zásadní připomínka</w:t>
            </w:r>
          </w:p>
        </w:tc>
        <w:tc>
          <w:tcPr>
            <w:tcW w:w="1702" w:type="pct"/>
          </w:tcPr>
          <w:p w14:paraId="428E616A" w14:textId="77777777" w:rsidR="00404122" w:rsidRPr="00137F8C" w:rsidRDefault="00404122" w:rsidP="00404122">
            <w:pPr>
              <w:spacing w:before="20"/>
              <w:jc w:val="both"/>
              <w:rPr>
                <w:sz w:val="22"/>
                <w:szCs w:val="22"/>
              </w:rPr>
            </w:pPr>
            <w:r w:rsidRPr="00137F8C">
              <w:rPr>
                <w:sz w:val="22"/>
                <w:szCs w:val="22"/>
              </w:rPr>
              <w:lastRenderedPageBreak/>
              <w:t xml:space="preserve">Státní vysoké školy vykazují v oblasti bezpečnostního výzkumu zásadní odlišnosti od vysokých škol veřejných a soukromých. Stát je své podstaty garantem zajišťování vnější i vnitřní bezpečnosti a zřizuje vlastní infrastrukturu organizací, které jsou určeny k naplňování tohoto poslání a mezi které </w:t>
            </w:r>
            <w:proofErr w:type="gramStart"/>
            <w:r w:rsidRPr="00137F8C">
              <w:rPr>
                <w:sz w:val="22"/>
                <w:szCs w:val="22"/>
              </w:rPr>
              <w:t>patří</w:t>
            </w:r>
            <w:proofErr w:type="gramEnd"/>
            <w:r w:rsidRPr="00137F8C">
              <w:rPr>
                <w:sz w:val="22"/>
                <w:szCs w:val="22"/>
              </w:rPr>
              <w:t xml:space="preserve"> i státní vysoké školy. Stát si tedy zřídil státní vysoké školy, aby plnily jeho </w:t>
            </w:r>
            <w:r w:rsidRPr="00137F8C">
              <w:rPr>
                <w:sz w:val="22"/>
                <w:szCs w:val="22"/>
              </w:rPr>
              <w:lastRenderedPageBreak/>
              <w:t xml:space="preserve">úkoly v oblasti bezpečnosti, které nemůže svěřit jinému typu vysokých škol, a to zejména z důvodu ochrany citlivých, rizikových nebo utajovaných informací, kde je veřejná soutěž z podstaty věci vyloučena. V oblasti bezpečnosti se proto stát prostřednictvím resortních ministerstev v řadě případů obrací na státní vysoké školy přímo, </w:t>
            </w:r>
            <w:proofErr w:type="spellStart"/>
            <w:r w:rsidRPr="00137F8C">
              <w:rPr>
                <w:sz w:val="22"/>
                <w:szCs w:val="22"/>
              </w:rPr>
              <w:t>předjednává</w:t>
            </w:r>
            <w:proofErr w:type="spellEnd"/>
            <w:r w:rsidRPr="00137F8C">
              <w:rPr>
                <w:sz w:val="22"/>
                <w:szCs w:val="22"/>
              </w:rPr>
              <w:t xml:space="preserve">, určuje a schvaluje jejich vědeckovýzkumné projekty. Není žádného racionálního důvodu, proč takové projekty nezahrnout do projektů započítávaných v rámci akreditačního procesu, když zde dochází k naplňování významné společenské potřeby a užitečnosti. </w:t>
            </w:r>
          </w:p>
          <w:p w14:paraId="6B3C05DC" w14:textId="77777777" w:rsidR="00404122" w:rsidRPr="00137F8C" w:rsidRDefault="00404122" w:rsidP="00404122">
            <w:pPr>
              <w:spacing w:before="20"/>
              <w:jc w:val="both"/>
              <w:rPr>
                <w:sz w:val="22"/>
                <w:szCs w:val="22"/>
              </w:rPr>
            </w:pPr>
          </w:p>
          <w:p w14:paraId="78B9A767" w14:textId="77777777" w:rsidR="00404122" w:rsidRPr="00137F8C" w:rsidRDefault="00404122" w:rsidP="00404122">
            <w:pPr>
              <w:spacing w:before="20"/>
              <w:rPr>
                <w:bCs/>
                <w:iCs/>
                <w:sz w:val="22"/>
                <w:szCs w:val="22"/>
              </w:rPr>
            </w:pPr>
          </w:p>
        </w:tc>
        <w:tc>
          <w:tcPr>
            <w:tcW w:w="649" w:type="pct"/>
          </w:tcPr>
          <w:p w14:paraId="05581C93" w14:textId="525CB33E" w:rsidR="00404122" w:rsidRPr="00137F8C" w:rsidRDefault="13829AF1" w:rsidP="13403F21">
            <w:pPr>
              <w:spacing w:before="20"/>
              <w:rPr>
                <w:sz w:val="22"/>
                <w:szCs w:val="22"/>
                <w:highlight w:val="red"/>
              </w:rPr>
            </w:pPr>
            <w:r w:rsidRPr="13403F21">
              <w:rPr>
                <w:b/>
                <w:bCs/>
                <w:sz w:val="22"/>
                <w:szCs w:val="22"/>
              </w:rPr>
              <w:lastRenderedPageBreak/>
              <w:t>Neakceptováno.</w:t>
            </w:r>
            <w:r w:rsidRPr="13403F21">
              <w:rPr>
                <w:sz w:val="22"/>
                <w:szCs w:val="22"/>
              </w:rPr>
              <w:t xml:space="preserve"> Resortní granty udělované ministerstvy se uvádějí do přílohy C-II jako granty typu C. Při </w:t>
            </w:r>
            <w:r w:rsidRPr="13403F21">
              <w:rPr>
                <w:sz w:val="22"/>
                <w:szCs w:val="22"/>
              </w:rPr>
              <w:lastRenderedPageBreak/>
              <w:t>posuzování je však nezbytné odlišovat mezi granty a projekty získanými v konkurenci dalších subjektů a těmi přidělenými bez této soutěže.</w:t>
            </w:r>
          </w:p>
        </w:tc>
      </w:tr>
      <w:tr w:rsidR="00404122" w:rsidRPr="00137F8C" w14:paraId="66F81535" w14:textId="77777777" w:rsidTr="13403F21">
        <w:trPr>
          <w:trHeight w:val="567"/>
        </w:trPr>
        <w:tc>
          <w:tcPr>
            <w:tcW w:w="174" w:type="pct"/>
          </w:tcPr>
          <w:p w14:paraId="3E7377BE" w14:textId="77777777" w:rsidR="00404122" w:rsidRPr="00137F8C" w:rsidRDefault="00404122" w:rsidP="00404122">
            <w:pPr>
              <w:numPr>
                <w:ilvl w:val="0"/>
                <w:numId w:val="1"/>
              </w:numPr>
              <w:spacing w:before="20"/>
              <w:rPr>
                <w:sz w:val="22"/>
                <w:szCs w:val="22"/>
              </w:rPr>
            </w:pPr>
          </w:p>
        </w:tc>
        <w:tc>
          <w:tcPr>
            <w:tcW w:w="633" w:type="pct"/>
          </w:tcPr>
          <w:p w14:paraId="6EC587DE" w14:textId="77777777" w:rsidR="00404122" w:rsidRPr="00137F8C" w:rsidRDefault="00404122" w:rsidP="00404122">
            <w:pPr>
              <w:spacing w:before="20"/>
              <w:rPr>
                <w:bCs/>
                <w:iCs/>
                <w:sz w:val="22"/>
                <w:szCs w:val="22"/>
              </w:rPr>
            </w:pPr>
            <w:r w:rsidRPr="00137F8C">
              <w:rPr>
                <w:sz w:val="22"/>
                <w:szCs w:val="22"/>
              </w:rPr>
              <w:t>a</w:t>
            </w:r>
          </w:p>
        </w:tc>
        <w:tc>
          <w:tcPr>
            <w:tcW w:w="557" w:type="pct"/>
          </w:tcPr>
          <w:p w14:paraId="2AFA334E" w14:textId="77777777" w:rsidR="00404122" w:rsidRPr="00137F8C" w:rsidRDefault="00404122" w:rsidP="00404122">
            <w:pPr>
              <w:spacing w:before="20"/>
              <w:rPr>
                <w:bCs/>
                <w:iCs/>
                <w:sz w:val="22"/>
                <w:szCs w:val="22"/>
              </w:rPr>
            </w:pPr>
            <w:r w:rsidRPr="00137F8C">
              <w:rPr>
                <w:sz w:val="22"/>
                <w:szCs w:val="22"/>
              </w:rPr>
              <w:t>1</w:t>
            </w:r>
          </w:p>
        </w:tc>
        <w:tc>
          <w:tcPr>
            <w:tcW w:w="1285" w:type="pct"/>
          </w:tcPr>
          <w:p w14:paraId="5B8F014A" w14:textId="77777777" w:rsidR="00404122" w:rsidRPr="00137F8C" w:rsidRDefault="00404122" w:rsidP="00404122">
            <w:pPr>
              <w:spacing w:before="20"/>
            </w:pPr>
            <w:r w:rsidRPr="00137F8C">
              <w:rPr>
                <w:b/>
                <w:bCs/>
              </w:rPr>
              <w:t>Vypustit</w:t>
            </w:r>
            <w:r w:rsidR="00F1447D" w:rsidRPr="00137F8C">
              <w:t>:</w:t>
            </w:r>
            <w:r w:rsidRPr="00137F8C">
              <w:t xml:space="preserve"> „Cílem sebehodnotící zprávy není pouze deklarovat, zda standardy jsou či nejsou splněny, ale provést analýzu a kritickou reflexi silných a slabých stránek vysoké školy spojených s naplněním standardů pro akreditace. Pouhé konstatování, že standardy jsou naplněny, není dostačující. Sebehodnocení by mělo odpovídat skutečnému stavu, který vyplývá z dalších údajů uvedených v žádosti. Dobrá sebehodnotící zpráva otevřeně a adekvátně hodnotí stav naplnění jednotlivých standardů a v případě, že standard není zcela splněn, předkládá plány vhodných opatření do budoucna.“</w:t>
            </w:r>
          </w:p>
          <w:p w14:paraId="18315870" w14:textId="77777777" w:rsidR="00404122" w:rsidRPr="00137F8C" w:rsidRDefault="00404122" w:rsidP="00404122">
            <w:pPr>
              <w:spacing w:before="20"/>
              <w:rPr>
                <w:bCs/>
                <w:iCs/>
                <w:sz w:val="22"/>
                <w:szCs w:val="22"/>
              </w:rPr>
            </w:pPr>
            <w:r w:rsidRPr="00137F8C">
              <w:rPr>
                <w:b/>
                <w:bCs/>
                <w:color w:val="FF0000"/>
              </w:rPr>
              <w:t>Zásadní připomínka</w:t>
            </w:r>
          </w:p>
        </w:tc>
        <w:tc>
          <w:tcPr>
            <w:tcW w:w="1702" w:type="pct"/>
          </w:tcPr>
          <w:p w14:paraId="381A9163" w14:textId="77777777" w:rsidR="00404122" w:rsidRPr="00137F8C" w:rsidRDefault="00404122" w:rsidP="00404122">
            <w:pPr>
              <w:spacing w:before="20"/>
              <w:rPr>
                <w:bCs/>
                <w:iCs/>
                <w:sz w:val="22"/>
                <w:szCs w:val="22"/>
              </w:rPr>
            </w:pPr>
            <w:r w:rsidRPr="00137F8C">
              <w:rPr>
                <w:sz w:val="22"/>
                <w:szCs w:val="22"/>
              </w:rPr>
              <w:t>Standard je buď naplněn, pak konstatování, že je naplněn postačuje, pokud naplněn není, je logické uvést v čem naplněn není. Kritická analýza je v případě plnění standardů nadbytečná.</w:t>
            </w:r>
          </w:p>
        </w:tc>
        <w:tc>
          <w:tcPr>
            <w:tcW w:w="649" w:type="pct"/>
          </w:tcPr>
          <w:p w14:paraId="5083137F" w14:textId="77777777" w:rsidR="00963380" w:rsidRPr="006E2003" w:rsidRDefault="00963380" w:rsidP="00963380">
            <w:pPr>
              <w:spacing w:before="20"/>
              <w:rPr>
                <w:iCs/>
                <w:sz w:val="22"/>
                <w:szCs w:val="22"/>
              </w:rPr>
            </w:pPr>
            <w:r w:rsidRPr="003C0866">
              <w:rPr>
                <w:b/>
                <w:bCs/>
                <w:iCs/>
                <w:sz w:val="22"/>
                <w:szCs w:val="22"/>
              </w:rPr>
              <w:t>Neakceptováno</w:t>
            </w:r>
            <w:r>
              <w:rPr>
                <w:iCs/>
                <w:sz w:val="22"/>
                <w:szCs w:val="22"/>
              </w:rPr>
              <w:t xml:space="preserve">. V návaznosti na </w:t>
            </w:r>
            <w:r w:rsidRPr="006E2003">
              <w:rPr>
                <w:iCs/>
                <w:sz w:val="22"/>
                <w:szCs w:val="22"/>
              </w:rPr>
              <w:t>Standardy a metodiky pro zabezpečování</w:t>
            </w:r>
          </w:p>
          <w:p w14:paraId="4F8FD2A4" w14:textId="77777777" w:rsidR="00963380" w:rsidRPr="006E2003" w:rsidRDefault="00963380" w:rsidP="00963380">
            <w:pPr>
              <w:spacing w:before="20"/>
              <w:rPr>
                <w:iCs/>
                <w:sz w:val="22"/>
                <w:szCs w:val="22"/>
              </w:rPr>
            </w:pPr>
            <w:r w:rsidRPr="006E2003">
              <w:rPr>
                <w:iCs/>
                <w:sz w:val="22"/>
                <w:szCs w:val="22"/>
              </w:rPr>
              <w:t>kvality v Evropském prostoru</w:t>
            </w:r>
          </w:p>
          <w:p w14:paraId="6E484E7D" w14:textId="5B90BFCF" w:rsidR="00404122" w:rsidRPr="00137F8C" w:rsidRDefault="00963380" w:rsidP="00963380">
            <w:pPr>
              <w:spacing w:before="20"/>
              <w:rPr>
                <w:iCs/>
                <w:sz w:val="22"/>
                <w:szCs w:val="22"/>
              </w:rPr>
            </w:pPr>
            <w:r w:rsidRPr="006E2003">
              <w:rPr>
                <w:iCs/>
                <w:sz w:val="22"/>
                <w:szCs w:val="22"/>
              </w:rPr>
              <w:t>vysokoškolského vzdělávání (ESG)</w:t>
            </w:r>
            <w:r>
              <w:rPr>
                <w:iCs/>
                <w:sz w:val="22"/>
                <w:szCs w:val="22"/>
              </w:rPr>
              <w:t xml:space="preserve"> je kladen důraz na sebehodnocení vysoké školy. Zejména u standardů vyžadujících komplexnější odborné posouzení je podstatné, na </w:t>
            </w:r>
            <w:proofErr w:type="gramStart"/>
            <w:r>
              <w:rPr>
                <w:iCs/>
                <w:sz w:val="22"/>
                <w:szCs w:val="22"/>
              </w:rPr>
              <w:t>základě</w:t>
            </w:r>
            <w:proofErr w:type="gramEnd"/>
            <w:r>
              <w:rPr>
                <w:iCs/>
                <w:sz w:val="22"/>
                <w:szCs w:val="22"/>
              </w:rPr>
              <w:t xml:space="preserve"> čeho vysoká škola </w:t>
            </w:r>
            <w:r>
              <w:rPr>
                <w:iCs/>
                <w:sz w:val="22"/>
                <w:szCs w:val="22"/>
              </w:rPr>
              <w:lastRenderedPageBreak/>
              <w:t>dospěla k závěru, že daný standard naplňuje. Pouhé konstatování v takových případech není vypovídající, a to zejména tehdy, kdy z údajů předložených v ostatních přílohách žádosti o akreditaci naplnění daného standardu jednoznačně nevyplývá.</w:t>
            </w:r>
          </w:p>
        </w:tc>
      </w:tr>
      <w:tr w:rsidR="00404122" w:rsidRPr="00137F8C" w14:paraId="6FD9112F" w14:textId="77777777" w:rsidTr="13403F21">
        <w:trPr>
          <w:trHeight w:val="567"/>
        </w:trPr>
        <w:tc>
          <w:tcPr>
            <w:tcW w:w="174" w:type="pct"/>
          </w:tcPr>
          <w:p w14:paraId="56527F93" w14:textId="77777777" w:rsidR="00404122" w:rsidRPr="00137F8C" w:rsidRDefault="00404122" w:rsidP="00404122">
            <w:pPr>
              <w:numPr>
                <w:ilvl w:val="0"/>
                <w:numId w:val="1"/>
              </w:numPr>
              <w:spacing w:before="20"/>
              <w:rPr>
                <w:sz w:val="22"/>
                <w:szCs w:val="22"/>
              </w:rPr>
            </w:pPr>
          </w:p>
        </w:tc>
        <w:tc>
          <w:tcPr>
            <w:tcW w:w="633" w:type="pct"/>
          </w:tcPr>
          <w:p w14:paraId="35F504C4" w14:textId="77777777" w:rsidR="00404122" w:rsidRPr="00137F8C" w:rsidRDefault="00404122" w:rsidP="00404122">
            <w:pPr>
              <w:spacing w:before="20"/>
              <w:rPr>
                <w:bCs/>
                <w:iCs/>
                <w:sz w:val="22"/>
                <w:szCs w:val="22"/>
              </w:rPr>
            </w:pPr>
            <w:r w:rsidRPr="00137F8C">
              <w:rPr>
                <w:sz w:val="22"/>
                <w:szCs w:val="22"/>
              </w:rPr>
              <w:t>b</w:t>
            </w:r>
          </w:p>
        </w:tc>
        <w:tc>
          <w:tcPr>
            <w:tcW w:w="557" w:type="pct"/>
          </w:tcPr>
          <w:p w14:paraId="13C4AF4B" w14:textId="77777777" w:rsidR="00404122" w:rsidRPr="00137F8C" w:rsidRDefault="00404122" w:rsidP="00404122">
            <w:pPr>
              <w:spacing w:before="20"/>
              <w:rPr>
                <w:bCs/>
                <w:iCs/>
                <w:sz w:val="22"/>
                <w:szCs w:val="22"/>
              </w:rPr>
            </w:pPr>
            <w:r w:rsidRPr="00137F8C">
              <w:rPr>
                <w:sz w:val="22"/>
                <w:szCs w:val="22"/>
              </w:rPr>
              <w:t>24</w:t>
            </w:r>
          </w:p>
        </w:tc>
        <w:tc>
          <w:tcPr>
            <w:tcW w:w="1285" w:type="pct"/>
          </w:tcPr>
          <w:p w14:paraId="7B858CC9" w14:textId="77777777" w:rsidR="00404122" w:rsidRPr="00137F8C" w:rsidRDefault="00404122" w:rsidP="00404122">
            <w:pPr>
              <w:spacing w:before="20"/>
            </w:pPr>
            <w:r w:rsidRPr="00137F8C">
              <w:t>Studijní oporou se rozumí studijní materiály pro řízené studium, které studentovi nahradí přímou výuku. Studijní opory mohou mít podobu textových studijních opor, audiovizuální opor, e-</w:t>
            </w:r>
            <w:proofErr w:type="spellStart"/>
            <w:r w:rsidRPr="00137F8C">
              <w:t>lerningových</w:t>
            </w:r>
            <w:proofErr w:type="spellEnd"/>
            <w:r w:rsidRPr="00137F8C">
              <w:t xml:space="preserve"> nástrojů apod. Pro zajištění </w:t>
            </w:r>
            <w:proofErr w:type="spellStart"/>
            <w:r w:rsidRPr="00137F8C">
              <w:t>multimediality</w:t>
            </w:r>
            <w:proofErr w:type="spellEnd"/>
            <w:r w:rsidRPr="00137F8C">
              <w:t xml:space="preserve">, interaktivity, možnosti propojení teorie a praktické aplikace je doporučena kombinace různých typů studijních opor a nástrojů. Studijní opora musí obsahovat cíl předmětu, časové nároky, metodické pokyny pro samostudium, didakticky zpracované učivo základní a rozšiřující. Jednotlivá témata učiva musí mít stanovený cíl, rozpracovanou výkladovou část, průběžnou i </w:t>
            </w:r>
            <w:r w:rsidRPr="00137F8C">
              <w:lastRenderedPageBreak/>
              <w:t xml:space="preserve">závěrečnou zpětnou vazbu (úkoly, testy, </w:t>
            </w:r>
            <w:proofErr w:type="spellStart"/>
            <w:proofErr w:type="gramStart"/>
            <w:r w:rsidRPr="00137F8C">
              <w:t>autotesty</w:t>
            </w:r>
            <w:proofErr w:type="spellEnd"/>
            <w:r w:rsidRPr="00137F8C">
              <w:t>,</w:t>
            </w:r>
            <w:proofErr w:type="gramEnd"/>
            <w:r w:rsidRPr="00137F8C">
              <w:t xml:space="preserve"> apod.) v rozsahu odpovídajícím charakteru studijního předmětu. Studijní opora musí obsahovat seznam odborné literatury základní a rozšiřující, rejstřík, glosář a klíčová slova. Lze využívat i dostupná skripta či učebnice, avšak musí být doplněná o průvodce studiem, který odpovídá výše uvedené charakteristice.</w:t>
            </w:r>
          </w:p>
          <w:p w14:paraId="4D76F23B" w14:textId="77777777" w:rsidR="00404122" w:rsidRPr="00137F8C" w:rsidRDefault="00404122" w:rsidP="00404122">
            <w:pPr>
              <w:spacing w:before="20"/>
            </w:pPr>
          </w:p>
          <w:p w14:paraId="67379AF9" w14:textId="77777777" w:rsidR="00404122" w:rsidRPr="00137F8C" w:rsidRDefault="00404122" w:rsidP="00404122">
            <w:pPr>
              <w:spacing w:before="20"/>
              <w:rPr>
                <w:b/>
                <w:bCs/>
              </w:rPr>
            </w:pPr>
            <w:r w:rsidRPr="00137F8C">
              <w:rPr>
                <w:b/>
                <w:bCs/>
              </w:rPr>
              <w:t>Upravit pouze pro distanční výuku.</w:t>
            </w:r>
          </w:p>
          <w:p w14:paraId="5B411E9E" w14:textId="77777777" w:rsidR="00404122" w:rsidRPr="00137F8C" w:rsidRDefault="00404122" w:rsidP="00404122">
            <w:pPr>
              <w:spacing w:before="20"/>
            </w:pPr>
          </w:p>
          <w:p w14:paraId="6C407D45" w14:textId="77777777" w:rsidR="00404122" w:rsidRPr="00137F8C" w:rsidRDefault="00404122" w:rsidP="00404122">
            <w:pPr>
              <w:spacing w:before="20"/>
              <w:rPr>
                <w:bCs/>
                <w:iCs/>
                <w:sz w:val="22"/>
                <w:szCs w:val="22"/>
              </w:rPr>
            </w:pPr>
            <w:r w:rsidRPr="00137F8C">
              <w:rPr>
                <w:b/>
                <w:bCs/>
                <w:color w:val="FF0000"/>
              </w:rPr>
              <w:t>Zásadní připomínka</w:t>
            </w:r>
          </w:p>
        </w:tc>
        <w:tc>
          <w:tcPr>
            <w:tcW w:w="1702" w:type="pct"/>
          </w:tcPr>
          <w:p w14:paraId="0112B329" w14:textId="77777777" w:rsidR="00404122" w:rsidRPr="00137F8C" w:rsidRDefault="00404122" w:rsidP="00404122">
            <w:pPr>
              <w:spacing w:before="20"/>
              <w:rPr>
                <w:bCs/>
                <w:iCs/>
                <w:sz w:val="22"/>
                <w:szCs w:val="22"/>
              </w:rPr>
            </w:pPr>
            <w:r w:rsidRPr="00137F8C">
              <w:rPr>
                <w:sz w:val="22"/>
                <w:szCs w:val="22"/>
              </w:rPr>
              <w:lastRenderedPageBreak/>
              <w:t xml:space="preserve">Studijní oporu takto formulovanou je vhodné vyžadovat u distanční formy studia. Kombinovaná forma má 80 hodin přímé výuky (tedy cca </w:t>
            </w:r>
            <w:proofErr w:type="gramStart"/>
            <w:r w:rsidRPr="00137F8C">
              <w:rPr>
                <w:sz w:val="22"/>
                <w:szCs w:val="22"/>
              </w:rPr>
              <w:t>50%</w:t>
            </w:r>
            <w:proofErr w:type="gramEnd"/>
            <w:r w:rsidRPr="00137F8C">
              <w:rPr>
                <w:sz w:val="22"/>
                <w:szCs w:val="22"/>
              </w:rPr>
              <w:t xml:space="preserve"> rozsahu prezenční výuky), vedle toho praxi ve stejném rozsahu jako prezenční výuka a blíží se tak výuce prezenční. Takto zpracované studijní opory by vedly ke kopírování přednášek, které budou studentům odpřednášeny a byly by duplicitní.</w:t>
            </w:r>
          </w:p>
        </w:tc>
        <w:tc>
          <w:tcPr>
            <w:tcW w:w="649" w:type="pct"/>
          </w:tcPr>
          <w:p w14:paraId="456FDF5F" w14:textId="7CABC962" w:rsidR="00404122" w:rsidRPr="00137F8C" w:rsidRDefault="003C0866" w:rsidP="00404122">
            <w:pPr>
              <w:spacing w:before="20"/>
              <w:rPr>
                <w:iCs/>
                <w:sz w:val="22"/>
                <w:szCs w:val="22"/>
              </w:rPr>
            </w:pPr>
            <w:r w:rsidRPr="00245F0B">
              <w:rPr>
                <w:b/>
                <w:bCs/>
                <w:sz w:val="22"/>
                <w:szCs w:val="22"/>
              </w:rPr>
              <w:t>Neakceptováno</w:t>
            </w:r>
            <w:r>
              <w:rPr>
                <w:sz w:val="22"/>
                <w:szCs w:val="22"/>
              </w:rPr>
              <w:t xml:space="preserve">. Požadavek na existenci vhodných studijních opor je NV o standardech pro akreditace stanoven na studijní předměty uskutečňované v distanční formě studia. Je-li předmět v rámci studijního programu akreditovaného v kombinované formě studia uskutečňován výhradně prezenční formou, nevztahuje </w:t>
            </w:r>
            <w:r>
              <w:rPr>
                <w:sz w:val="22"/>
                <w:szCs w:val="22"/>
              </w:rPr>
              <w:lastRenderedPageBreak/>
              <w:t>se na něj požadavek studijních opor.</w:t>
            </w:r>
          </w:p>
        </w:tc>
      </w:tr>
      <w:tr w:rsidR="00404122" w:rsidRPr="00137F8C" w14:paraId="75295C76" w14:textId="77777777" w:rsidTr="13403F21">
        <w:trPr>
          <w:trHeight w:val="567"/>
        </w:trPr>
        <w:tc>
          <w:tcPr>
            <w:tcW w:w="174" w:type="pct"/>
          </w:tcPr>
          <w:p w14:paraId="75751CED" w14:textId="77777777" w:rsidR="00404122" w:rsidRPr="00137F8C" w:rsidRDefault="00404122" w:rsidP="00404122">
            <w:pPr>
              <w:numPr>
                <w:ilvl w:val="0"/>
                <w:numId w:val="1"/>
              </w:numPr>
              <w:spacing w:before="20"/>
              <w:rPr>
                <w:sz w:val="22"/>
                <w:szCs w:val="22"/>
              </w:rPr>
            </w:pPr>
          </w:p>
        </w:tc>
        <w:tc>
          <w:tcPr>
            <w:tcW w:w="633" w:type="pct"/>
          </w:tcPr>
          <w:p w14:paraId="28E39CD2" w14:textId="77777777" w:rsidR="00404122" w:rsidRPr="00137F8C" w:rsidRDefault="00404122" w:rsidP="00404122">
            <w:pPr>
              <w:spacing w:before="20"/>
              <w:rPr>
                <w:bCs/>
                <w:iCs/>
                <w:sz w:val="22"/>
                <w:szCs w:val="22"/>
              </w:rPr>
            </w:pPr>
            <w:r w:rsidRPr="00137F8C">
              <w:rPr>
                <w:sz w:val="22"/>
                <w:szCs w:val="22"/>
              </w:rPr>
              <w:t>b</w:t>
            </w:r>
          </w:p>
        </w:tc>
        <w:tc>
          <w:tcPr>
            <w:tcW w:w="557" w:type="pct"/>
          </w:tcPr>
          <w:p w14:paraId="3F03ED58" w14:textId="77777777" w:rsidR="00404122" w:rsidRPr="00137F8C" w:rsidRDefault="00404122" w:rsidP="00404122">
            <w:pPr>
              <w:spacing w:before="20"/>
              <w:rPr>
                <w:bCs/>
                <w:iCs/>
                <w:sz w:val="22"/>
                <w:szCs w:val="22"/>
              </w:rPr>
            </w:pPr>
            <w:r w:rsidRPr="00137F8C">
              <w:rPr>
                <w:sz w:val="22"/>
                <w:szCs w:val="22"/>
              </w:rPr>
              <w:t>9/2.13</w:t>
            </w:r>
          </w:p>
        </w:tc>
        <w:tc>
          <w:tcPr>
            <w:tcW w:w="1285" w:type="pct"/>
          </w:tcPr>
          <w:p w14:paraId="14B526A2" w14:textId="77777777" w:rsidR="00A809D7" w:rsidRPr="00137F8C" w:rsidRDefault="00404122" w:rsidP="00404122">
            <w:pPr>
              <w:spacing w:before="20"/>
            </w:pPr>
            <w:r w:rsidRPr="00137F8C">
              <w:rPr>
                <w:b/>
                <w:bCs/>
              </w:rPr>
              <w:t>Vypustit:</w:t>
            </w:r>
            <w:r w:rsidRPr="00137F8C">
              <w:t xml:space="preserve"> </w:t>
            </w:r>
          </w:p>
          <w:p w14:paraId="0497CA48" w14:textId="77777777" w:rsidR="00404122" w:rsidRPr="00137F8C" w:rsidRDefault="00404122" w:rsidP="00404122">
            <w:pPr>
              <w:spacing w:before="20"/>
              <w:rPr>
                <w:i/>
                <w:iCs/>
              </w:rPr>
            </w:pPr>
            <w:r w:rsidRPr="00137F8C">
              <w:rPr>
                <w:i/>
                <w:iCs/>
              </w:rPr>
              <w:t>„Týdnem se rozumí 40 hodin odborné praxe/praktické výuky“.</w:t>
            </w:r>
          </w:p>
          <w:p w14:paraId="4E37CCD3" w14:textId="77777777" w:rsidR="00404122" w:rsidRPr="00137F8C" w:rsidRDefault="00404122" w:rsidP="00404122">
            <w:pPr>
              <w:spacing w:before="20"/>
            </w:pPr>
          </w:p>
          <w:p w14:paraId="4DB99BFC" w14:textId="77777777" w:rsidR="00404122" w:rsidRPr="00137F8C" w:rsidRDefault="00404122" w:rsidP="00404122">
            <w:pPr>
              <w:spacing w:before="20"/>
              <w:rPr>
                <w:bCs/>
                <w:iCs/>
                <w:sz w:val="22"/>
                <w:szCs w:val="22"/>
              </w:rPr>
            </w:pPr>
            <w:r w:rsidRPr="00137F8C">
              <w:rPr>
                <w:b/>
                <w:bCs/>
                <w:color w:val="FF0000"/>
              </w:rPr>
              <w:t>Zásadní připomínka</w:t>
            </w:r>
          </w:p>
        </w:tc>
        <w:tc>
          <w:tcPr>
            <w:tcW w:w="1702" w:type="pct"/>
          </w:tcPr>
          <w:p w14:paraId="64A1EA83" w14:textId="77777777" w:rsidR="00404122" w:rsidRPr="00137F8C" w:rsidRDefault="00404122" w:rsidP="00404122">
            <w:pPr>
              <w:spacing w:before="20"/>
              <w:jc w:val="both"/>
              <w:rPr>
                <w:sz w:val="22"/>
                <w:szCs w:val="22"/>
              </w:rPr>
            </w:pPr>
            <w:r w:rsidRPr="00137F8C">
              <w:rPr>
                <w:sz w:val="22"/>
                <w:szCs w:val="22"/>
              </w:rPr>
              <w:t>Je vhodné nekvantifikovat. Délka pracovního týdne a tím i možnosti praxe pro studenty je mj. ovlivněna max. pracovní dobou dle zákoníku práce. Dvousměnné, třísměnné provozy, služební poměry atd. mají odlišnou pracovní dobu, vždy kratší než 40 hodin.</w:t>
            </w:r>
          </w:p>
          <w:p w14:paraId="32AE86DF" w14:textId="77777777" w:rsidR="00404122" w:rsidRPr="00137F8C" w:rsidRDefault="00404122" w:rsidP="00404122">
            <w:pPr>
              <w:spacing w:before="20"/>
              <w:rPr>
                <w:bCs/>
                <w:iCs/>
                <w:sz w:val="22"/>
                <w:szCs w:val="22"/>
              </w:rPr>
            </w:pPr>
          </w:p>
        </w:tc>
        <w:tc>
          <w:tcPr>
            <w:tcW w:w="649" w:type="pct"/>
          </w:tcPr>
          <w:p w14:paraId="6C78E656" w14:textId="50A8AA9E" w:rsidR="00404122" w:rsidRPr="00137F8C" w:rsidRDefault="00B46BE5" w:rsidP="00404122">
            <w:pPr>
              <w:spacing w:before="20"/>
              <w:rPr>
                <w:iCs/>
                <w:sz w:val="22"/>
                <w:szCs w:val="22"/>
              </w:rPr>
            </w:pPr>
            <w:r w:rsidRPr="34F5C39D">
              <w:rPr>
                <w:b/>
                <w:bCs/>
                <w:sz w:val="22"/>
                <w:szCs w:val="22"/>
              </w:rPr>
              <w:t>Akceptováno</w:t>
            </w:r>
            <w:r w:rsidRPr="34F5C39D">
              <w:rPr>
                <w:sz w:val="22"/>
                <w:szCs w:val="22"/>
              </w:rPr>
              <w:t>. Formulace bude upravena na “</w:t>
            </w:r>
            <w:r w:rsidRPr="00F85FF9">
              <w:rPr>
                <w:sz w:val="22"/>
                <w:szCs w:val="22"/>
              </w:rPr>
              <w:t>zpravidla 40 hodin/týdně”.</w:t>
            </w:r>
          </w:p>
        </w:tc>
      </w:tr>
      <w:tr w:rsidR="003C3C4E" w:rsidRPr="00137F8C" w14:paraId="70C8C379" w14:textId="77777777" w:rsidTr="13403F21">
        <w:trPr>
          <w:trHeight w:val="567"/>
        </w:trPr>
        <w:tc>
          <w:tcPr>
            <w:tcW w:w="174" w:type="pct"/>
          </w:tcPr>
          <w:p w14:paraId="4ECD185F" w14:textId="77777777" w:rsidR="003C3C4E" w:rsidRPr="00137F8C" w:rsidRDefault="003C3C4E" w:rsidP="003C3C4E">
            <w:pPr>
              <w:numPr>
                <w:ilvl w:val="0"/>
                <w:numId w:val="1"/>
              </w:numPr>
              <w:spacing w:before="20"/>
              <w:rPr>
                <w:sz w:val="22"/>
                <w:szCs w:val="22"/>
              </w:rPr>
            </w:pPr>
          </w:p>
        </w:tc>
        <w:tc>
          <w:tcPr>
            <w:tcW w:w="633" w:type="pct"/>
          </w:tcPr>
          <w:p w14:paraId="2D2CD7F1" w14:textId="77777777" w:rsidR="003C3C4E" w:rsidRPr="00137F8C" w:rsidRDefault="003C3C4E" w:rsidP="003C3C4E">
            <w:pPr>
              <w:spacing w:before="20"/>
              <w:rPr>
                <w:bCs/>
                <w:iCs/>
                <w:sz w:val="22"/>
                <w:szCs w:val="22"/>
              </w:rPr>
            </w:pPr>
            <w:r w:rsidRPr="00137F8C">
              <w:rPr>
                <w:sz w:val="22"/>
                <w:szCs w:val="22"/>
              </w:rPr>
              <w:t>A A-D</w:t>
            </w:r>
          </w:p>
        </w:tc>
        <w:tc>
          <w:tcPr>
            <w:tcW w:w="557" w:type="pct"/>
          </w:tcPr>
          <w:p w14:paraId="2C6513D1" w14:textId="77777777" w:rsidR="003C3C4E" w:rsidRPr="00137F8C" w:rsidRDefault="003C3C4E" w:rsidP="003C3C4E">
            <w:pPr>
              <w:spacing w:before="20"/>
              <w:rPr>
                <w:bCs/>
                <w:iCs/>
                <w:sz w:val="22"/>
                <w:szCs w:val="22"/>
              </w:rPr>
            </w:pPr>
            <w:r w:rsidRPr="00137F8C">
              <w:rPr>
                <w:sz w:val="22"/>
                <w:szCs w:val="22"/>
              </w:rPr>
              <w:t>17</w:t>
            </w:r>
          </w:p>
        </w:tc>
        <w:tc>
          <w:tcPr>
            <w:tcW w:w="1285" w:type="pct"/>
          </w:tcPr>
          <w:p w14:paraId="3CB5F58B" w14:textId="77777777" w:rsidR="00A809D7" w:rsidRPr="00137F8C" w:rsidRDefault="003C3C4E" w:rsidP="003C3C4E">
            <w:pPr>
              <w:spacing w:before="20"/>
            </w:pPr>
            <w:r w:rsidRPr="00137F8C">
              <w:rPr>
                <w:b/>
                <w:bCs/>
              </w:rPr>
              <w:t>Vypustit:</w:t>
            </w:r>
            <w:r w:rsidRPr="00137F8C">
              <w:t xml:space="preserve"> </w:t>
            </w:r>
          </w:p>
          <w:p w14:paraId="2B99AD50" w14:textId="77777777" w:rsidR="003C3C4E" w:rsidRPr="00137F8C" w:rsidRDefault="00A809D7" w:rsidP="003C3C4E">
            <w:pPr>
              <w:spacing w:before="20"/>
            </w:pPr>
            <w:r w:rsidRPr="00137F8C">
              <w:t>„</w:t>
            </w:r>
            <w:r w:rsidR="003C3C4E" w:rsidRPr="00137F8C">
              <w:rPr>
                <w:i/>
                <w:iCs/>
              </w:rPr>
              <w:t xml:space="preserve">5 nejvýznamnějších grantů a projektů. V případě, že jde o granty a projekty řešené ve spolupráci, uvádějí se také další </w:t>
            </w:r>
            <w:proofErr w:type="spellStart"/>
            <w:r w:rsidR="003C3C4E" w:rsidRPr="00137F8C">
              <w:rPr>
                <w:i/>
                <w:iCs/>
              </w:rPr>
              <w:t>spolupříjemci</w:t>
            </w:r>
            <w:proofErr w:type="spellEnd"/>
            <w:r w:rsidR="003C3C4E" w:rsidRPr="00137F8C">
              <w:rPr>
                <w:i/>
                <w:iCs/>
              </w:rPr>
              <w:t>. Neuvádí se interní granty vysoké školy, ani projekty rozvojového charakteru.</w:t>
            </w:r>
            <w:r w:rsidRPr="00137F8C">
              <w:rPr>
                <w:i/>
                <w:iCs/>
              </w:rPr>
              <w:t>“</w:t>
            </w:r>
          </w:p>
          <w:p w14:paraId="419AAB68" w14:textId="77777777" w:rsidR="003C3C4E" w:rsidRPr="00137F8C" w:rsidRDefault="003C3C4E" w:rsidP="003C3C4E">
            <w:pPr>
              <w:spacing w:before="20"/>
            </w:pPr>
          </w:p>
          <w:p w14:paraId="65AE8A59" w14:textId="77777777" w:rsidR="003C3C4E" w:rsidRPr="00137F8C" w:rsidRDefault="003C3C4E" w:rsidP="003C3C4E">
            <w:pPr>
              <w:spacing w:before="20"/>
              <w:rPr>
                <w:bCs/>
                <w:iCs/>
                <w:sz w:val="22"/>
                <w:szCs w:val="22"/>
              </w:rPr>
            </w:pPr>
            <w:r w:rsidRPr="00137F8C">
              <w:rPr>
                <w:b/>
                <w:bCs/>
                <w:color w:val="FF0000"/>
              </w:rPr>
              <w:t>Zásadní připomínka</w:t>
            </w:r>
          </w:p>
        </w:tc>
        <w:tc>
          <w:tcPr>
            <w:tcW w:w="1702" w:type="pct"/>
          </w:tcPr>
          <w:p w14:paraId="73FE62CD" w14:textId="77777777" w:rsidR="003C3C4E" w:rsidRPr="00137F8C" w:rsidRDefault="003C3C4E" w:rsidP="003C3C4E">
            <w:r w:rsidRPr="00137F8C">
              <w:t xml:space="preserve">Zvýšil se počet grantů a projektů dokládaných k žádosti o akreditaci SP – dříve dostačovaly u Bc. 2 u Mgr. 3, nově je třeba uvést 5. Toto nekoresponduje s průvodním dopisem předsedy NAÚ, podle něhož cílem úprav má být </w:t>
            </w:r>
            <w:proofErr w:type="spellStart"/>
            <w:r w:rsidRPr="00137F8C">
              <w:t>sesouladění</w:t>
            </w:r>
            <w:proofErr w:type="spellEnd"/>
            <w:r w:rsidRPr="00137F8C">
              <w:t xml:space="preserve"> správní praxe a výkladu metodik, nikoli významné zpřísnění dosavadních podmínek. Vzniklá správní praxe nemůže být v rozporu se jasnou dosavadní textací metodik. </w:t>
            </w:r>
          </w:p>
          <w:p w14:paraId="012156F3" w14:textId="77777777" w:rsidR="003C3C4E" w:rsidRPr="00137F8C" w:rsidRDefault="003C3C4E" w:rsidP="003C3C4E">
            <w:pPr>
              <w:spacing w:before="20"/>
              <w:rPr>
                <w:bCs/>
                <w:iCs/>
                <w:sz w:val="22"/>
                <w:szCs w:val="22"/>
              </w:rPr>
            </w:pPr>
          </w:p>
        </w:tc>
        <w:tc>
          <w:tcPr>
            <w:tcW w:w="649" w:type="pct"/>
          </w:tcPr>
          <w:p w14:paraId="77116125" w14:textId="216C811E" w:rsidR="003C3C4E" w:rsidRPr="00137F8C" w:rsidRDefault="00AC06CC" w:rsidP="003C3C4E">
            <w:pPr>
              <w:spacing w:before="20"/>
              <w:rPr>
                <w:iCs/>
                <w:sz w:val="22"/>
                <w:szCs w:val="22"/>
              </w:rPr>
            </w:pPr>
            <w:r w:rsidRPr="34F5C39D">
              <w:rPr>
                <w:b/>
                <w:bCs/>
                <w:sz w:val="22"/>
                <w:szCs w:val="22"/>
              </w:rPr>
              <w:t>Neakceptováno</w:t>
            </w:r>
            <w:r w:rsidRPr="34F5C39D">
              <w:rPr>
                <w:sz w:val="22"/>
                <w:szCs w:val="22"/>
              </w:rPr>
              <w:t>. Obava ze zpřísnění podmínek není důvodná. Jedná se skutečně o až 5 projektů</w:t>
            </w:r>
            <w:r w:rsidRPr="34F5C39D">
              <w:rPr>
                <w:i/>
                <w:iCs/>
                <w:sz w:val="22"/>
                <w:szCs w:val="22"/>
              </w:rPr>
              <w:t xml:space="preserve"> </w:t>
            </w:r>
            <w:r w:rsidRPr="34F5C39D">
              <w:rPr>
                <w:sz w:val="22"/>
                <w:szCs w:val="22"/>
              </w:rPr>
              <w:t xml:space="preserve">(nejvýše 5) a nikoli povinně 5. Sjednocením počtu uváděných projektů u všech typů studijních programů se pokyny pro </w:t>
            </w:r>
            <w:r w:rsidRPr="34F5C39D">
              <w:rPr>
                <w:sz w:val="22"/>
                <w:szCs w:val="22"/>
              </w:rPr>
              <w:lastRenderedPageBreak/>
              <w:t>přípravu akreditační žádosti zjednodušují. Správní praxe ukázala, že možnost uvést do žádosti jen 2 nebo 3 projekty byla zbytečně omezující.</w:t>
            </w:r>
          </w:p>
        </w:tc>
      </w:tr>
      <w:tr w:rsidR="003C3C4E" w:rsidRPr="00137F8C" w14:paraId="6603195C" w14:textId="77777777" w:rsidTr="13403F21">
        <w:trPr>
          <w:trHeight w:val="567"/>
        </w:trPr>
        <w:tc>
          <w:tcPr>
            <w:tcW w:w="174" w:type="pct"/>
          </w:tcPr>
          <w:p w14:paraId="60FFE813" w14:textId="77777777" w:rsidR="003C3C4E" w:rsidRPr="00137F8C" w:rsidRDefault="003C3C4E" w:rsidP="003C3C4E">
            <w:pPr>
              <w:numPr>
                <w:ilvl w:val="0"/>
                <w:numId w:val="1"/>
              </w:numPr>
              <w:spacing w:before="20"/>
              <w:rPr>
                <w:sz w:val="22"/>
                <w:szCs w:val="22"/>
              </w:rPr>
            </w:pPr>
          </w:p>
        </w:tc>
        <w:tc>
          <w:tcPr>
            <w:tcW w:w="633" w:type="pct"/>
          </w:tcPr>
          <w:p w14:paraId="54770920" w14:textId="77777777" w:rsidR="003C3C4E" w:rsidRPr="00137F8C" w:rsidRDefault="003C3C4E" w:rsidP="003C3C4E">
            <w:pPr>
              <w:spacing w:before="20"/>
              <w:rPr>
                <w:bCs/>
                <w:iCs/>
                <w:sz w:val="22"/>
                <w:szCs w:val="22"/>
              </w:rPr>
            </w:pPr>
            <w:r w:rsidRPr="00137F8C">
              <w:rPr>
                <w:sz w:val="22"/>
                <w:szCs w:val="22"/>
              </w:rPr>
              <w:t>b</w:t>
            </w:r>
          </w:p>
        </w:tc>
        <w:tc>
          <w:tcPr>
            <w:tcW w:w="557" w:type="pct"/>
          </w:tcPr>
          <w:p w14:paraId="75A603DD" w14:textId="77777777" w:rsidR="003C3C4E" w:rsidRPr="00137F8C" w:rsidRDefault="003C3C4E" w:rsidP="003C3C4E">
            <w:pPr>
              <w:spacing w:before="20"/>
              <w:rPr>
                <w:bCs/>
                <w:iCs/>
                <w:sz w:val="22"/>
                <w:szCs w:val="22"/>
              </w:rPr>
            </w:pPr>
            <w:r w:rsidRPr="00137F8C">
              <w:rPr>
                <w:sz w:val="22"/>
                <w:szCs w:val="22"/>
              </w:rPr>
              <w:t>5.2.d</w:t>
            </w:r>
          </w:p>
        </w:tc>
        <w:tc>
          <w:tcPr>
            <w:tcW w:w="1285" w:type="pct"/>
          </w:tcPr>
          <w:p w14:paraId="7CEF1D0F" w14:textId="77777777" w:rsidR="00A809D7" w:rsidRPr="00137F8C" w:rsidRDefault="003C3C4E" w:rsidP="003C3C4E">
            <w:pPr>
              <w:spacing w:before="20"/>
              <w:jc w:val="both"/>
            </w:pPr>
            <w:r w:rsidRPr="00137F8C">
              <w:rPr>
                <w:b/>
                <w:bCs/>
              </w:rPr>
              <w:t>Vypustit:</w:t>
            </w:r>
            <w:r w:rsidRPr="00137F8C">
              <w:t xml:space="preserve"> </w:t>
            </w:r>
          </w:p>
          <w:p w14:paraId="7C3AB850" w14:textId="77777777" w:rsidR="003C3C4E" w:rsidRPr="00137F8C" w:rsidRDefault="00A809D7" w:rsidP="003C3C4E">
            <w:pPr>
              <w:spacing w:before="20"/>
              <w:jc w:val="both"/>
              <w:rPr>
                <w:i/>
                <w:iCs/>
              </w:rPr>
            </w:pPr>
            <w:r w:rsidRPr="00137F8C">
              <w:rPr>
                <w:i/>
                <w:iCs/>
              </w:rPr>
              <w:t>„</w:t>
            </w:r>
            <w:r w:rsidR="003C3C4E" w:rsidRPr="00137F8C">
              <w:rPr>
                <w:i/>
                <w:iCs/>
              </w:rPr>
              <w:t>Dále pro všechny typy a profily studijních programů platí, že garant studijního programu musí mít zkušenosti s vedením kvalifikačních prací v daném typu studijního programu, jaký má garantovat.</w:t>
            </w:r>
            <w:r w:rsidRPr="00137F8C">
              <w:rPr>
                <w:i/>
                <w:iCs/>
              </w:rPr>
              <w:t>“</w:t>
            </w:r>
          </w:p>
          <w:p w14:paraId="73BDDC9B" w14:textId="77777777" w:rsidR="003C3C4E" w:rsidRPr="00137F8C" w:rsidRDefault="003C3C4E" w:rsidP="003C3C4E">
            <w:pPr>
              <w:spacing w:before="20"/>
              <w:jc w:val="both"/>
            </w:pPr>
          </w:p>
          <w:p w14:paraId="55C516C6" w14:textId="77777777" w:rsidR="003C3C4E" w:rsidRPr="00137F8C" w:rsidRDefault="003C3C4E" w:rsidP="003C3C4E">
            <w:pPr>
              <w:spacing w:before="20"/>
              <w:rPr>
                <w:bCs/>
                <w:iCs/>
                <w:sz w:val="22"/>
                <w:szCs w:val="22"/>
              </w:rPr>
            </w:pPr>
            <w:r w:rsidRPr="00137F8C">
              <w:rPr>
                <w:b/>
                <w:bCs/>
                <w:color w:val="FF0000"/>
              </w:rPr>
              <w:t>Zásadní připomínka</w:t>
            </w:r>
          </w:p>
        </w:tc>
        <w:tc>
          <w:tcPr>
            <w:tcW w:w="1702" w:type="pct"/>
          </w:tcPr>
          <w:p w14:paraId="05079C80" w14:textId="77777777" w:rsidR="003C3C4E" w:rsidRDefault="003C3C4E" w:rsidP="003C3C4E">
            <w:pPr>
              <w:spacing w:before="20"/>
            </w:pPr>
            <w:r w:rsidRPr="00137F8C">
              <w:t>Jde o požadavek na garanta, který není stanoven zákonem o vysokých školách, ani nařízením vlády o standardech pro akreditace ve vysokém školství. Šlo by tak o stanovení povinnosti vysoké škole jinak než na základě zákona a v jeho mezích, tedy postupem nedovoleným (</w:t>
            </w:r>
            <w:proofErr w:type="spellStart"/>
            <w:r w:rsidRPr="00137F8C">
              <w:t>contra</w:t>
            </w:r>
            <w:proofErr w:type="spellEnd"/>
            <w:r w:rsidRPr="00137F8C">
              <w:t xml:space="preserve"> legem).</w:t>
            </w:r>
            <w:r w:rsidR="00F00C72">
              <w:t xml:space="preserve"> </w:t>
            </w:r>
          </w:p>
          <w:p w14:paraId="100B8390" w14:textId="77777777" w:rsidR="002440D4" w:rsidRPr="00137F8C" w:rsidRDefault="002440D4" w:rsidP="003C3C4E">
            <w:pPr>
              <w:spacing w:before="20"/>
              <w:rPr>
                <w:bCs/>
                <w:iCs/>
                <w:sz w:val="22"/>
                <w:szCs w:val="22"/>
              </w:rPr>
            </w:pPr>
            <w:r>
              <w:t xml:space="preserve">Pokud bychom odhlédli od této zásadní procesní vady, sporné je i doplňující ustanovení v metodikách obsažené, tj. že garant tyto práce vedl v posledních 5 letech. Znamená to snad, že profesor dříve garantující např. navazující magisterské studium je nezpůsobilý garantovat nově studium </w:t>
            </w:r>
            <w:proofErr w:type="gramStart"/>
            <w:r>
              <w:t>bakalářské</w:t>
            </w:r>
            <w:proofErr w:type="gramEnd"/>
            <w:r>
              <w:t xml:space="preserve"> neboť v posledních 5 letech vedl jen práce diplomové a žádnou práci bakalářskou? Pro jeho dostatečnou erudici by mělo stačit, že kvalifikační práci daného typu studia vedl a nikoli doba, kdy se tak dělo. Automaticky by mělo být subsumováno, že pokud jsem způsobilý/vedl jsem kvalifikační práci vyššího typu, jsem způsobilý vést práce nižšího typu. </w:t>
            </w:r>
          </w:p>
        </w:tc>
        <w:tc>
          <w:tcPr>
            <w:tcW w:w="649" w:type="pct"/>
          </w:tcPr>
          <w:p w14:paraId="24C2F378" w14:textId="37E8F258" w:rsidR="003C3C4E" w:rsidRPr="00137F8C" w:rsidRDefault="00E24C43" w:rsidP="003C3C4E">
            <w:pPr>
              <w:spacing w:before="20"/>
              <w:rPr>
                <w:iCs/>
                <w:sz w:val="22"/>
                <w:szCs w:val="22"/>
              </w:rPr>
            </w:pPr>
            <w:r w:rsidRPr="34F5C39D">
              <w:rPr>
                <w:b/>
                <w:bCs/>
                <w:sz w:val="22"/>
                <w:szCs w:val="22"/>
              </w:rPr>
              <w:t>Akceptováno částečně</w:t>
            </w:r>
            <w:r w:rsidRPr="34F5C39D">
              <w:rPr>
                <w:sz w:val="22"/>
                <w:szCs w:val="22"/>
              </w:rPr>
              <w:t>. Formulace</w:t>
            </w:r>
            <w:r>
              <w:rPr>
                <w:sz w:val="22"/>
                <w:szCs w:val="22"/>
              </w:rPr>
              <w:t xml:space="preserve"> v metodickém materiálů (a)</w:t>
            </w:r>
            <w:r w:rsidRPr="34F5C39D">
              <w:rPr>
                <w:sz w:val="22"/>
                <w:szCs w:val="22"/>
              </w:rPr>
              <w:t xml:space="preserve"> bude upravena </w:t>
            </w:r>
            <w:r w:rsidRPr="00F85FF9">
              <w:rPr>
                <w:sz w:val="22"/>
                <w:szCs w:val="22"/>
              </w:rPr>
              <w:t>na “za posledních 10 let”.</w:t>
            </w:r>
            <w:r w:rsidRPr="34F5C39D">
              <w:rPr>
                <w:sz w:val="22"/>
                <w:szCs w:val="22"/>
              </w:rPr>
              <w:t xml:space="preserve"> Zkušenost s vedením kvalifikačních prací je jedním z aspektů odborné kvalifikace garanta.</w:t>
            </w:r>
          </w:p>
        </w:tc>
      </w:tr>
      <w:tr w:rsidR="0061594B" w:rsidRPr="00137F8C" w14:paraId="6C46BA6E" w14:textId="77777777" w:rsidTr="13403F21">
        <w:trPr>
          <w:trHeight w:val="567"/>
        </w:trPr>
        <w:tc>
          <w:tcPr>
            <w:tcW w:w="174" w:type="pct"/>
          </w:tcPr>
          <w:p w14:paraId="1FF0C54D" w14:textId="77777777" w:rsidR="0061594B" w:rsidRPr="00137F8C" w:rsidRDefault="0061594B" w:rsidP="0061594B">
            <w:pPr>
              <w:numPr>
                <w:ilvl w:val="0"/>
                <w:numId w:val="1"/>
              </w:numPr>
              <w:spacing w:before="20"/>
              <w:rPr>
                <w:sz w:val="22"/>
                <w:szCs w:val="22"/>
              </w:rPr>
            </w:pPr>
          </w:p>
        </w:tc>
        <w:tc>
          <w:tcPr>
            <w:tcW w:w="633" w:type="pct"/>
          </w:tcPr>
          <w:p w14:paraId="72CDDD82" w14:textId="77777777" w:rsidR="0061594B" w:rsidRDefault="0061594B" w:rsidP="0061594B">
            <w:pPr>
              <w:spacing w:before="20"/>
              <w:rPr>
                <w:sz w:val="22"/>
                <w:szCs w:val="22"/>
              </w:rPr>
            </w:pPr>
            <w:r>
              <w:rPr>
                <w:sz w:val="22"/>
                <w:szCs w:val="22"/>
              </w:rPr>
              <w:t>b</w:t>
            </w:r>
          </w:p>
        </w:tc>
        <w:tc>
          <w:tcPr>
            <w:tcW w:w="557" w:type="pct"/>
          </w:tcPr>
          <w:p w14:paraId="5EB7A974" w14:textId="77777777" w:rsidR="0061594B" w:rsidRDefault="0061594B" w:rsidP="0061594B">
            <w:pPr>
              <w:spacing w:before="20"/>
              <w:rPr>
                <w:sz w:val="22"/>
                <w:szCs w:val="22"/>
              </w:rPr>
            </w:pPr>
            <w:r>
              <w:rPr>
                <w:sz w:val="22"/>
                <w:szCs w:val="22"/>
              </w:rPr>
              <w:t>3.5, 3.6., str. 11</w:t>
            </w:r>
          </w:p>
        </w:tc>
        <w:tc>
          <w:tcPr>
            <w:tcW w:w="1285" w:type="pct"/>
          </w:tcPr>
          <w:p w14:paraId="46ECB044" w14:textId="77777777" w:rsidR="0061594B" w:rsidRDefault="0061594B" w:rsidP="0061594B">
            <w:pPr>
              <w:spacing w:before="20"/>
              <w:jc w:val="both"/>
              <w:rPr>
                <w:b/>
                <w:bCs/>
                <w:sz w:val="22"/>
                <w:szCs w:val="22"/>
              </w:rPr>
            </w:pPr>
            <w:r>
              <w:rPr>
                <w:b/>
                <w:bCs/>
                <w:sz w:val="22"/>
                <w:szCs w:val="22"/>
              </w:rPr>
              <w:t xml:space="preserve">Odstranit část věty: </w:t>
            </w:r>
          </w:p>
          <w:p w14:paraId="0132F47A" w14:textId="77777777" w:rsidR="0061594B" w:rsidRDefault="0061594B" w:rsidP="0061594B">
            <w:pPr>
              <w:spacing w:before="20"/>
              <w:jc w:val="both"/>
              <w:rPr>
                <w:i/>
                <w:iCs/>
                <w:sz w:val="22"/>
                <w:szCs w:val="22"/>
              </w:rPr>
            </w:pPr>
            <w:r w:rsidRPr="0084624F">
              <w:rPr>
                <w:sz w:val="22"/>
                <w:szCs w:val="22"/>
              </w:rPr>
              <w:t>Tvůrčí, resp. vědecká a umělecká činnost se realizuje na vysoké škole, „</w:t>
            </w:r>
            <w:r w:rsidRPr="0084624F">
              <w:rPr>
                <w:i/>
                <w:iCs/>
                <w:sz w:val="22"/>
                <w:szCs w:val="22"/>
              </w:rPr>
              <w:t>resp. součásti vysoké školy, pokud je studijní program uskutečňován na součásti.“</w:t>
            </w:r>
          </w:p>
          <w:p w14:paraId="1AD9A2A5" w14:textId="77777777" w:rsidR="0061594B" w:rsidRPr="0084624F" w:rsidRDefault="0061594B" w:rsidP="0061594B">
            <w:pPr>
              <w:spacing w:before="20"/>
              <w:jc w:val="both"/>
              <w:rPr>
                <w:b/>
                <w:bCs/>
                <w:sz w:val="22"/>
                <w:szCs w:val="22"/>
              </w:rPr>
            </w:pPr>
          </w:p>
          <w:p w14:paraId="2A4161DF" w14:textId="77777777" w:rsidR="0061594B" w:rsidRPr="00407D92" w:rsidRDefault="0061594B" w:rsidP="0061594B">
            <w:pPr>
              <w:spacing w:before="20"/>
              <w:jc w:val="both"/>
              <w:rPr>
                <w:b/>
                <w:bCs/>
                <w:sz w:val="22"/>
                <w:szCs w:val="22"/>
              </w:rPr>
            </w:pPr>
            <w:r w:rsidRPr="00137F8C">
              <w:rPr>
                <w:b/>
                <w:bCs/>
                <w:color w:val="FF0000"/>
              </w:rPr>
              <w:t>Zásadní připomínka</w:t>
            </w:r>
          </w:p>
        </w:tc>
        <w:tc>
          <w:tcPr>
            <w:tcW w:w="1702" w:type="pct"/>
          </w:tcPr>
          <w:p w14:paraId="29546365" w14:textId="77777777" w:rsidR="0061594B" w:rsidRDefault="0061594B" w:rsidP="0061594B">
            <w:pPr>
              <w:spacing w:before="20"/>
              <w:jc w:val="both"/>
              <w:rPr>
                <w:sz w:val="22"/>
                <w:szCs w:val="22"/>
              </w:rPr>
            </w:pPr>
            <w:r>
              <w:rPr>
                <w:sz w:val="22"/>
                <w:szCs w:val="22"/>
              </w:rPr>
              <w:lastRenderedPageBreak/>
              <w:t xml:space="preserve">Jedná se o požadavek nad rámec platné legislativy a povinností uložených právními předpisy. Procesně jde tedy o postup </w:t>
            </w:r>
            <w:proofErr w:type="spellStart"/>
            <w:r>
              <w:rPr>
                <w:sz w:val="22"/>
                <w:szCs w:val="22"/>
              </w:rPr>
              <w:t>contra</w:t>
            </w:r>
            <w:proofErr w:type="spellEnd"/>
            <w:r>
              <w:rPr>
                <w:sz w:val="22"/>
                <w:szCs w:val="22"/>
              </w:rPr>
              <w:t xml:space="preserve"> legem, jelikož povinnost lze adresátovi uložit toliko zákonem nebo na základě zákona a povinnost uskutečňovat tvůrčí činnost na </w:t>
            </w:r>
            <w:r>
              <w:rPr>
                <w:sz w:val="22"/>
                <w:szCs w:val="22"/>
              </w:rPr>
              <w:lastRenderedPageBreak/>
              <w:t xml:space="preserve">součásti vysoké školy zákon ani nařízení vlády nezmiňuje. Nařízení vlády </w:t>
            </w:r>
            <w:r w:rsidRPr="0084624F">
              <w:rPr>
                <w:sz w:val="22"/>
                <w:szCs w:val="22"/>
              </w:rPr>
              <w:t>o standardech pro akreditace ve vysokém školství</w:t>
            </w:r>
            <w:r>
              <w:rPr>
                <w:sz w:val="22"/>
                <w:szCs w:val="22"/>
              </w:rPr>
              <w:t xml:space="preserve"> spojuje ve všech svých ustanoveních požadavek tvůrčí činnosti s vysokou školou, nikoli s její součástí.</w:t>
            </w:r>
          </w:p>
          <w:p w14:paraId="2575DE71" w14:textId="77777777" w:rsidR="0061594B" w:rsidRDefault="0061594B" w:rsidP="0061594B">
            <w:pPr>
              <w:spacing w:before="20"/>
              <w:jc w:val="both"/>
              <w:rPr>
                <w:sz w:val="22"/>
                <w:szCs w:val="22"/>
              </w:rPr>
            </w:pPr>
            <w:r>
              <w:rPr>
                <w:sz w:val="22"/>
                <w:szCs w:val="22"/>
              </w:rPr>
              <w:t xml:space="preserve">Navrhované ustanovení také neodpovídá dělbě práce v rámci vysoké školy, kdy mnohé vědecké projekty jsou realizovány mezifakultně (ve spolupráci více fakult). </w:t>
            </w:r>
          </w:p>
        </w:tc>
        <w:tc>
          <w:tcPr>
            <w:tcW w:w="649" w:type="pct"/>
          </w:tcPr>
          <w:p w14:paraId="35E34E7C" w14:textId="0E600E67" w:rsidR="0061594B" w:rsidRPr="00137F8C" w:rsidRDefault="5809E464" w:rsidP="13403F21">
            <w:pPr>
              <w:spacing w:before="20"/>
              <w:rPr>
                <w:sz w:val="22"/>
                <w:szCs w:val="22"/>
              </w:rPr>
            </w:pPr>
            <w:r w:rsidRPr="13403F21">
              <w:rPr>
                <w:b/>
                <w:bCs/>
                <w:sz w:val="22"/>
                <w:szCs w:val="22"/>
              </w:rPr>
              <w:lastRenderedPageBreak/>
              <w:t>Neakceptováno</w:t>
            </w:r>
            <w:r w:rsidRPr="13403F21">
              <w:rPr>
                <w:sz w:val="22"/>
                <w:szCs w:val="22"/>
              </w:rPr>
              <w:t xml:space="preserve">. Nelze si představit, že by studijní program měla kvalitně </w:t>
            </w:r>
            <w:r w:rsidRPr="13403F21">
              <w:rPr>
                <w:sz w:val="22"/>
                <w:szCs w:val="22"/>
              </w:rPr>
              <w:lastRenderedPageBreak/>
              <w:t>uskutečňovat součást, která neuskutečňuje žádnou tvůrčí, resp. vědeckou a uměleckou činnost. Uskutečňování této činnosti výhradně jinými součástmi se nebude mít reálný přínos pro daný studijní program.</w:t>
            </w:r>
          </w:p>
        </w:tc>
      </w:tr>
      <w:tr w:rsidR="0061594B" w:rsidRPr="00137F8C" w14:paraId="371F9C99" w14:textId="77777777" w:rsidTr="13403F21">
        <w:trPr>
          <w:trHeight w:val="567"/>
        </w:trPr>
        <w:tc>
          <w:tcPr>
            <w:tcW w:w="174" w:type="pct"/>
          </w:tcPr>
          <w:p w14:paraId="706B0C23" w14:textId="77777777" w:rsidR="0061594B" w:rsidRPr="00137F8C" w:rsidRDefault="0061594B" w:rsidP="0061594B">
            <w:pPr>
              <w:numPr>
                <w:ilvl w:val="0"/>
                <w:numId w:val="1"/>
              </w:numPr>
              <w:spacing w:before="20"/>
              <w:rPr>
                <w:sz w:val="22"/>
                <w:szCs w:val="22"/>
              </w:rPr>
            </w:pPr>
          </w:p>
        </w:tc>
        <w:tc>
          <w:tcPr>
            <w:tcW w:w="633" w:type="pct"/>
          </w:tcPr>
          <w:p w14:paraId="55BD966C" w14:textId="77777777" w:rsidR="0061594B" w:rsidRPr="00137F8C" w:rsidRDefault="0061594B" w:rsidP="0061594B">
            <w:pPr>
              <w:spacing w:before="20"/>
              <w:rPr>
                <w:bCs/>
                <w:iCs/>
                <w:sz w:val="22"/>
                <w:szCs w:val="22"/>
              </w:rPr>
            </w:pPr>
            <w:r w:rsidRPr="00137F8C">
              <w:rPr>
                <w:bCs/>
                <w:iCs/>
                <w:sz w:val="22"/>
                <w:szCs w:val="22"/>
              </w:rPr>
              <w:t>c</w:t>
            </w:r>
          </w:p>
        </w:tc>
        <w:tc>
          <w:tcPr>
            <w:tcW w:w="557" w:type="pct"/>
          </w:tcPr>
          <w:p w14:paraId="654082E0" w14:textId="77777777" w:rsidR="0061594B" w:rsidRPr="00137F8C" w:rsidRDefault="0061594B" w:rsidP="0061594B">
            <w:pPr>
              <w:spacing w:before="20"/>
              <w:rPr>
                <w:bCs/>
                <w:iCs/>
                <w:sz w:val="22"/>
                <w:szCs w:val="22"/>
              </w:rPr>
            </w:pPr>
            <w:r w:rsidRPr="00137F8C">
              <w:rPr>
                <w:bCs/>
                <w:iCs/>
                <w:sz w:val="22"/>
                <w:szCs w:val="22"/>
              </w:rPr>
              <w:t>4</w:t>
            </w:r>
          </w:p>
        </w:tc>
        <w:tc>
          <w:tcPr>
            <w:tcW w:w="1285" w:type="pct"/>
          </w:tcPr>
          <w:p w14:paraId="76E9BCD0" w14:textId="77777777" w:rsidR="0061594B" w:rsidRPr="00137F8C" w:rsidRDefault="0061594B" w:rsidP="0061594B">
            <w:pPr>
              <w:spacing w:before="20"/>
              <w:rPr>
                <w:bCs/>
                <w:iCs/>
                <w:sz w:val="22"/>
                <w:szCs w:val="22"/>
              </w:rPr>
            </w:pPr>
            <w:r w:rsidRPr="00137F8C">
              <w:rPr>
                <w:bCs/>
                <w:iCs/>
                <w:sz w:val="22"/>
                <w:szCs w:val="22"/>
              </w:rPr>
              <w:t>Zrušení odstavce 4</w:t>
            </w:r>
          </w:p>
        </w:tc>
        <w:tc>
          <w:tcPr>
            <w:tcW w:w="1702" w:type="pct"/>
          </w:tcPr>
          <w:p w14:paraId="7FFD77E9" w14:textId="77777777" w:rsidR="0061594B" w:rsidRPr="00137F8C" w:rsidRDefault="0061594B" w:rsidP="0061594B">
            <w:pPr>
              <w:spacing w:before="20"/>
              <w:rPr>
                <w:bCs/>
                <w:iCs/>
                <w:sz w:val="22"/>
                <w:szCs w:val="22"/>
              </w:rPr>
            </w:pPr>
            <w:r w:rsidRPr="00137F8C">
              <w:rPr>
                <w:bCs/>
                <w:iCs/>
                <w:sz w:val="22"/>
                <w:szCs w:val="22"/>
              </w:rPr>
              <w:t>Jaký je důvod zrušení odstavce 4 týkajícího se akreditace společného uskutečňování studijního programu se zahraniční vysokou školou podle § 47a ZVŠ? Není to v rozporu s internacionalizací studijních programů a v rozporu s participací zahraničních vysokých škol? Jak bude dále postupováno, nedojde k problému s double-</w:t>
            </w:r>
            <w:proofErr w:type="spellStart"/>
            <w:r w:rsidRPr="00137F8C">
              <w:rPr>
                <w:bCs/>
                <w:iCs/>
                <w:sz w:val="22"/>
                <w:szCs w:val="22"/>
              </w:rPr>
              <w:t>diploma</w:t>
            </w:r>
            <w:proofErr w:type="spellEnd"/>
            <w:r w:rsidRPr="00137F8C">
              <w:rPr>
                <w:bCs/>
                <w:iCs/>
                <w:sz w:val="22"/>
                <w:szCs w:val="22"/>
              </w:rPr>
              <w:t>, joint-</w:t>
            </w:r>
            <w:proofErr w:type="spellStart"/>
            <w:r w:rsidRPr="00137F8C">
              <w:rPr>
                <w:bCs/>
                <w:iCs/>
                <w:sz w:val="22"/>
                <w:szCs w:val="22"/>
              </w:rPr>
              <w:t>degree</w:t>
            </w:r>
            <w:proofErr w:type="spellEnd"/>
            <w:r w:rsidRPr="00137F8C">
              <w:rPr>
                <w:bCs/>
                <w:iCs/>
                <w:sz w:val="22"/>
                <w:szCs w:val="22"/>
              </w:rPr>
              <w:t>?</w:t>
            </w:r>
          </w:p>
          <w:p w14:paraId="39EE2BB1" w14:textId="77777777" w:rsidR="0061594B" w:rsidRPr="00137F8C" w:rsidRDefault="0061594B" w:rsidP="0061594B">
            <w:pPr>
              <w:numPr>
                <w:ilvl w:val="0"/>
                <w:numId w:val="9"/>
              </w:numPr>
              <w:autoSpaceDE w:val="0"/>
              <w:autoSpaceDN w:val="0"/>
              <w:adjustRightInd w:val="0"/>
              <w:rPr>
                <w:sz w:val="22"/>
                <w:szCs w:val="22"/>
              </w:rPr>
            </w:pPr>
          </w:p>
        </w:tc>
        <w:tc>
          <w:tcPr>
            <w:tcW w:w="649" w:type="pct"/>
          </w:tcPr>
          <w:p w14:paraId="010EFD7F" w14:textId="41481B7A" w:rsidR="0061594B" w:rsidRPr="00137F8C" w:rsidRDefault="3C1FAEC5" w:rsidP="13403F21">
            <w:pPr>
              <w:spacing w:before="20"/>
              <w:rPr>
                <w:sz w:val="22"/>
                <w:szCs w:val="22"/>
              </w:rPr>
            </w:pPr>
            <w:r w:rsidRPr="13403F21">
              <w:rPr>
                <w:b/>
                <w:bCs/>
                <w:sz w:val="22"/>
                <w:szCs w:val="22"/>
              </w:rPr>
              <w:t>Vysvětleno.</w:t>
            </w:r>
            <w:r w:rsidRPr="13403F21">
              <w:rPr>
                <w:sz w:val="22"/>
                <w:szCs w:val="22"/>
              </w:rPr>
              <w:t xml:space="preserve"> Jedná se o zjednodušení zejména v případě, že spolupráce podle § 47a ZVŠ má být nově realizována v již akreditovaném studijním programu. V tomto případě nebude nutné žádat o rozšíření akreditace studijního programu, spolupráce podle § 47a ZVŠ bude pouze podléhat informační povinnosti. Úprava vychází ze vzniklé správní praxe.</w:t>
            </w:r>
          </w:p>
        </w:tc>
      </w:tr>
      <w:tr w:rsidR="0061594B" w:rsidRPr="00137F8C" w14:paraId="3F4DCFC7" w14:textId="77777777" w:rsidTr="13403F21">
        <w:trPr>
          <w:trHeight w:val="567"/>
        </w:trPr>
        <w:tc>
          <w:tcPr>
            <w:tcW w:w="174" w:type="pct"/>
          </w:tcPr>
          <w:p w14:paraId="52C75A8C" w14:textId="77777777" w:rsidR="0061594B" w:rsidRPr="00137F8C" w:rsidRDefault="0061594B" w:rsidP="0061594B">
            <w:pPr>
              <w:numPr>
                <w:ilvl w:val="0"/>
                <w:numId w:val="1"/>
              </w:numPr>
              <w:spacing w:before="20"/>
              <w:rPr>
                <w:sz w:val="22"/>
                <w:szCs w:val="22"/>
              </w:rPr>
            </w:pPr>
          </w:p>
        </w:tc>
        <w:tc>
          <w:tcPr>
            <w:tcW w:w="633" w:type="pct"/>
          </w:tcPr>
          <w:p w14:paraId="44E97E4E" w14:textId="77777777" w:rsidR="0061594B" w:rsidRPr="00137F8C" w:rsidRDefault="0061594B" w:rsidP="0061594B">
            <w:pPr>
              <w:spacing w:before="20"/>
              <w:rPr>
                <w:bCs/>
                <w:iCs/>
                <w:sz w:val="22"/>
                <w:szCs w:val="22"/>
              </w:rPr>
            </w:pPr>
            <w:r w:rsidRPr="00137F8C">
              <w:rPr>
                <w:bCs/>
                <w:iCs/>
                <w:sz w:val="22"/>
                <w:szCs w:val="22"/>
              </w:rPr>
              <w:t>i</w:t>
            </w:r>
          </w:p>
        </w:tc>
        <w:tc>
          <w:tcPr>
            <w:tcW w:w="557" w:type="pct"/>
          </w:tcPr>
          <w:p w14:paraId="4C9F612F" w14:textId="77777777" w:rsidR="0061594B" w:rsidRPr="00137F8C" w:rsidRDefault="0061594B" w:rsidP="0061594B">
            <w:pPr>
              <w:spacing w:before="20"/>
              <w:rPr>
                <w:bCs/>
                <w:iCs/>
                <w:sz w:val="22"/>
                <w:szCs w:val="22"/>
              </w:rPr>
            </w:pPr>
            <w:r w:rsidRPr="00137F8C">
              <w:rPr>
                <w:bCs/>
                <w:iCs/>
                <w:sz w:val="22"/>
                <w:szCs w:val="22"/>
              </w:rPr>
              <w:t>Revize mimoevropské vysoké školy.</w:t>
            </w:r>
          </w:p>
        </w:tc>
        <w:tc>
          <w:tcPr>
            <w:tcW w:w="1285" w:type="pct"/>
          </w:tcPr>
          <w:p w14:paraId="196022AA" w14:textId="77777777" w:rsidR="0061594B" w:rsidRPr="00137F8C" w:rsidRDefault="0061594B" w:rsidP="0061594B">
            <w:pPr>
              <w:spacing w:before="20"/>
            </w:pPr>
            <w:r w:rsidRPr="00137F8C">
              <w:rPr>
                <w:b/>
                <w:bCs/>
              </w:rPr>
              <w:t>Vypustit:</w:t>
            </w:r>
            <w:r w:rsidRPr="00137F8C">
              <w:t xml:space="preserve"> </w:t>
            </w:r>
          </w:p>
          <w:p w14:paraId="181E9E64" w14:textId="77777777" w:rsidR="0061594B" w:rsidRPr="00137F8C" w:rsidRDefault="0061594B" w:rsidP="0061594B">
            <w:pPr>
              <w:spacing w:before="20"/>
              <w:rPr>
                <w:bCs/>
                <w:i/>
                <w:iCs/>
                <w:sz w:val="22"/>
                <w:szCs w:val="22"/>
              </w:rPr>
            </w:pPr>
            <w:r w:rsidRPr="00137F8C">
              <w:rPr>
                <w:i/>
                <w:iCs/>
              </w:rPr>
              <w:t xml:space="preserve">„Přílohu žádosti vždy </w:t>
            </w:r>
            <w:proofErr w:type="gramStart"/>
            <w:r w:rsidRPr="00137F8C">
              <w:rPr>
                <w:i/>
                <w:iCs/>
              </w:rPr>
              <w:t>tvoří</w:t>
            </w:r>
            <w:proofErr w:type="gramEnd"/>
            <w:r w:rsidRPr="00137F8C">
              <w:rPr>
                <w:i/>
                <w:iCs/>
              </w:rPr>
              <w:t xml:space="preserve"> kopie </w:t>
            </w:r>
            <w:r w:rsidRPr="00137F8C">
              <w:rPr>
                <w:i/>
                <w:iCs/>
              </w:rPr>
              <w:lastRenderedPageBreak/>
              <w:t>smluv uzavřených s vyučujícími a dalšími osobami zapojenými do personálního zabezpečení všech studijních programů, které jsou předmětem žádosti (při dodržení zásad dle platného nařízení GDPR).“</w:t>
            </w:r>
          </w:p>
        </w:tc>
        <w:tc>
          <w:tcPr>
            <w:tcW w:w="1702" w:type="pct"/>
          </w:tcPr>
          <w:p w14:paraId="69AF1281" w14:textId="77777777" w:rsidR="0061594B" w:rsidRPr="00137F8C" w:rsidRDefault="0061594B" w:rsidP="0061594B">
            <w:r w:rsidRPr="00137F8C">
              <w:lastRenderedPageBreak/>
              <w:t xml:space="preserve">V instrukcích pro předkládání žádostí o registraci </w:t>
            </w:r>
            <w:proofErr w:type="spellStart"/>
            <w:r w:rsidRPr="00137F8C">
              <w:t>mimoeveropských</w:t>
            </w:r>
            <w:proofErr w:type="spellEnd"/>
            <w:r w:rsidRPr="00137F8C">
              <w:t xml:space="preserve"> programů se objevil požadavek </w:t>
            </w:r>
            <w:r w:rsidRPr="00137F8C">
              <w:lastRenderedPageBreak/>
              <w:t xml:space="preserve">na předložení smluv se všemi vyučujícími a dalšími osobami zapojenými do personálního zabezpečení všech studijních programů. To představuje další navýšení administrativní zátěže a vzhledem k tomu, že podobný požadavek se neobjevuje v žádostech o akreditaci studijních programů (které by měly představovat ZÁSADNĚJŠÍ </w:t>
            </w:r>
            <w:proofErr w:type="gramStart"/>
            <w:r w:rsidRPr="00137F8C">
              <w:t>rozhodnutí</w:t>
            </w:r>
            <w:proofErr w:type="gramEnd"/>
            <w:r w:rsidRPr="00137F8C">
              <w:t xml:space="preserve"> a tedy rozhodnutí náročnější na podklady), vypadá se jako záměr NAU úmyslně žádosti o registraci mimoevropských programů administrativně komplikovat. Záměrem této připomínky je odstranění nové zátěže pro mimoevropské vysoké školy, nikoli zavedení těchto povinností pro české vysoké školy jako „zrovnoprávnění“.</w:t>
            </w:r>
          </w:p>
          <w:p w14:paraId="7C65D732" w14:textId="77777777" w:rsidR="0061594B" w:rsidRPr="00137F8C" w:rsidRDefault="0061594B" w:rsidP="0061594B">
            <w:pPr>
              <w:spacing w:before="20"/>
              <w:rPr>
                <w:bCs/>
                <w:iCs/>
                <w:sz w:val="22"/>
                <w:szCs w:val="22"/>
              </w:rPr>
            </w:pPr>
          </w:p>
        </w:tc>
        <w:tc>
          <w:tcPr>
            <w:tcW w:w="649" w:type="pct"/>
          </w:tcPr>
          <w:p w14:paraId="0E67C35C" w14:textId="77777777" w:rsidR="007F6DFA" w:rsidRDefault="007F6DFA" w:rsidP="007F6DFA">
            <w:pPr>
              <w:spacing w:before="20"/>
              <w:rPr>
                <w:iCs/>
                <w:sz w:val="22"/>
                <w:szCs w:val="22"/>
              </w:rPr>
            </w:pPr>
            <w:r w:rsidRPr="007C3E9A">
              <w:rPr>
                <w:b/>
                <w:bCs/>
                <w:iCs/>
                <w:sz w:val="22"/>
                <w:szCs w:val="22"/>
              </w:rPr>
              <w:lastRenderedPageBreak/>
              <w:t>Neakceptováno</w:t>
            </w:r>
            <w:r>
              <w:rPr>
                <w:iCs/>
                <w:sz w:val="22"/>
                <w:szCs w:val="22"/>
              </w:rPr>
              <w:t xml:space="preserve">. Požadavek formulovaný </w:t>
            </w:r>
            <w:r>
              <w:rPr>
                <w:iCs/>
                <w:sz w:val="22"/>
                <w:szCs w:val="22"/>
              </w:rPr>
              <w:lastRenderedPageBreak/>
              <w:t xml:space="preserve">specificky pro mimoevropské vysoké školy a jejich pobočky v ČR vychází z jejich často méně stabilního postavení v českém prostředí a z charakteru pracovně-právních vztahů uzavíraných některými těmito subjekty. </w:t>
            </w:r>
          </w:p>
          <w:p w14:paraId="69FD8E6D" w14:textId="3DBE4DC1" w:rsidR="0061594B" w:rsidRPr="00137F8C" w:rsidRDefault="007F6DFA" w:rsidP="007F6DFA">
            <w:pPr>
              <w:spacing w:before="20"/>
              <w:rPr>
                <w:iCs/>
                <w:sz w:val="22"/>
                <w:szCs w:val="22"/>
              </w:rPr>
            </w:pPr>
            <w:r>
              <w:rPr>
                <w:iCs/>
                <w:sz w:val="22"/>
                <w:szCs w:val="22"/>
              </w:rPr>
              <w:t xml:space="preserve">V praxi se NAÚ a MŠMT (o jejichž sdílenou kompetenci při posuzování se jedná) setkávaly se specifickými případy v personálním zabezpečení, které v prostředí českých vysokých škol nejsou standardní ani časté. Potřebu daných příloh tedy ukázala správní praxe vytvořená po </w:t>
            </w:r>
            <w:r>
              <w:rPr>
                <w:sz w:val="22"/>
                <w:szCs w:val="22"/>
              </w:rPr>
              <w:t xml:space="preserve">zavedení povolovacího režimu pro mimoevropské vysoké školy a jejich pobočky </w:t>
            </w:r>
            <w:r>
              <w:rPr>
                <w:sz w:val="22"/>
                <w:szCs w:val="22"/>
              </w:rPr>
              <w:lastRenderedPageBreak/>
              <w:t>v ČR novelou ZVŠ v r. 2016.</w:t>
            </w:r>
          </w:p>
        </w:tc>
      </w:tr>
      <w:tr w:rsidR="0061594B" w:rsidRPr="00137F8C" w14:paraId="1FBAE679" w14:textId="77777777" w:rsidTr="13403F21">
        <w:trPr>
          <w:trHeight w:val="567"/>
        </w:trPr>
        <w:tc>
          <w:tcPr>
            <w:tcW w:w="174" w:type="pct"/>
          </w:tcPr>
          <w:p w14:paraId="2728D984" w14:textId="77777777" w:rsidR="0061594B" w:rsidRPr="00137F8C" w:rsidRDefault="0061594B" w:rsidP="0061594B">
            <w:pPr>
              <w:numPr>
                <w:ilvl w:val="0"/>
                <w:numId w:val="1"/>
              </w:numPr>
              <w:spacing w:before="20"/>
              <w:rPr>
                <w:sz w:val="22"/>
                <w:szCs w:val="22"/>
              </w:rPr>
            </w:pPr>
          </w:p>
        </w:tc>
        <w:tc>
          <w:tcPr>
            <w:tcW w:w="633" w:type="pct"/>
          </w:tcPr>
          <w:p w14:paraId="652D56B9" w14:textId="77777777" w:rsidR="0061594B" w:rsidRPr="00137F8C" w:rsidRDefault="0061594B" w:rsidP="0061594B">
            <w:r w:rsidRPr="00137F8C">
              <w:t xml:space="preserve">b </w:t>
            </w:r>
          </w:p>
        </w:tc>
        <w:tc>
          <w:tcPr>
            <w:tcW w:w="557" w:type="pct"/>
          </w:tcPr>
          <w:p w14:paraId="1764D2C6" w14:textId="77777777" w:rsidR="0061594B" w:rsidRPr="00137F8C" w:rsidRDefault="0061594B" w:rsidP="0061594B">
            <w:r w:rsidRPr="00137F8C">
              <w:t>12</w:t>
            </w:r>
          </w:p>
          <w:p w14:paraId="11F6A80F" w14:textId="77777777" w:rsidR="0061594B" w:rsidRPr="00137F8C" w:rsidRDefault="0061594B" w:rsidP="0061594B">
            <w:r w:rsidRPr="00137F8C">
              <w:t>poslední odstavec</w:t>
            </w:r>
          </w:p>
        </w:tc>
        <w:tc>
          <w:tcPr>
            <w:tcW w:w="1285" w:type="pct"/>
          </w:tcPr>
          <w:p w14:paraId="3E9A0EC8" w14:textId="77777777" w:rsidR="0061594B" w:rsidRPr="00137F8C" w:rsidRDefault="0061594B" w:rsidP="0061594B">
            <w:r w:rsidRPr="00137F8C">
              <w:t>Nezapočítávání interních grantů diskriminuje malé VŠ</w:t>
            </w:r>
          </w:p>
          <w:p w14:paraId="3735E580" w14:textId="77777777" w:rsidR="0061594B" w:rsidRPr="00137F8C" w:rsidRDefault="0061594B" w:rsidP="0061594B"/>
          <w:p w14:paraId="29B226FC" w14:textId="77777777" w:rsidR="0061594B" w:rsidRPr="00137F8C" w:rsidRDefault="0061594B" w:rsidP="0061594B">
            <w:r w:rsidRPr="00137F8C">
              <w:rPr>
                <w:b/>
                <w:bCs/>
                <w:sz w:val="23"/>
                <w:szCs w:val="23"/>
              </w:rPr>
              <w:t>Nově vložený text vypustit</w:t>
            </w:r>
          </w:p>
        </w:tc>
        <w:tc>
          <w:tcPr>
            <w:tcW w:w="1702" w:type="pct"/>
          </w:tcPr>
          <w:p w14:paraId="328E4FF7" w14:textId="77777777" w:rsidR="0061594B" w:rsidRPr="00137F8C" w:rsidRDefault="0061594B" w:rsidP="0061594B">
            <w:pPr>
              <w:spacing w:before="20"/>
              <w:rPr>
                <w:bCs/>
                <w:sz w:val="22"/>
                <w:szCs w:val="22"/>
              </w:rPr>
            </w:pPr>
            <w:r w:rsidRPr="00137F8C">
              <w:t xml:space="preserve">Vyjmutí interních grantů a projektů zadaných v rámci VŠ z tvůrčí, resp. vědecké a umělecké činnosti reálně diskriminuje malé vysoké školy, které téměř nemohou dosáhnout na granty poskytované např. GAČR, TAČR, </w:t>
            </w:r>
            <w:proofErr w:type="gramStart"/>
            <w:r w:rsidRPr="00137F8C">
              <w:t>rezortními</w:t>
            </w:r>
            <w:proofErr w:type="gramEnd"/>
            <w:r w:rsidRPr="00137F8C">
              <w:t xml:space="preserve"> ministerskými granty atd.</w:t>
            </w:r>
          </w:p>
          <w:p w14:paraId="189E75F9" w14:textId="77777777" w:rsidR="0061594B" w:rsidRPr="00137F8C" w:rsidRDefault="0061594B" w:rsidP="0061594B">
            <w:pPr>
              <w:spacing w:before="20"/>
              <w:rPr>
                <w:bCs/>
                <w:sz w:val="22"/>
                <w:szCs w:val="22"/>
              </w:rPr>
            </w:pPr>
            <w:r w:rsidRPr="00137F8C">
              <w:rPr>
                <w:bCs/>
                <w:sz w:val="22"/>
                <w:szCs w:val="22"/>
              </w:rPr>
              <w:t>Pomineme-li, že často, zejména v oblasti celoživotního vzdělávání, jsou součástí realizace grantu výzkumy, které VŠ často realizuje v konkrétním prostředí (pro které ale nejsou data), vylučujeme tedy například i IROP? Což je příležitost v podstatě na úrovni smluvního výzkumu?</w:t>
            </w:r>
          </w:p>
          <w:p w14:paraId="122090A0" w14:textId="77777777" w:rsidR="0061594B" w:rsidRPr="00137F8C" w:rsidRDefault="0061594B" w:rsidP="0061594B">
            <w:r w:rsidRPr="00137F8C">
              <w:rPr>
                <w:bCs/>
                <w:sz w:val="22"/>
                <w:szCs w:val="22"/>
              </w:rPr>
              <w:t>Je součástí tohoto vyloučení tako program Kreativní Evropa nebo Nový evropský Bauhaus? Což jsou v podstatě zásadní grantové mezinárodní možnosti pro umělecké vysoké školství, které jsou ale realizovány spolu s profesionálním prostředím? (Ne)započítávají se společné projekty v oblasti Erasmus+? V případě výzev v rámci Národního plánu obnovy MK ČR se setkáváme se zadáními akčního a kritického výzkumu a návrhu opatření – tato výzva je například na úrovní TA ČR, program Beta.</w:t>
            </w:r>
          </w:p>
        </w:tc>
        <w:tc>
          <w:tcPr>
            <w:tcW w:w="649" w:type="pct"/>
          </w:tcPr>
          <w:p w14:paraId="6213324E" w14:textId="6675F759" w:rsidR="0061594B" w:rsidRPr="00F85FF9" w:rsidRDefault="2530F815" w:rsidP="13403F21">
            <w:pPr>
              <w:spacing w:before="20"/>
              <w:rPr>
                <w:sz w:val="22"/>
                <w:szCs w:val="22"/>
              </w:rPr>
            </w:pPr>
            <w:r w:rsidRPr="00F85FF9">
              <w:rPr>
                <w:b/>
                <w:bCs/>
                <w:sz w:val="22"/>
                <w:szCs w:val="22"/>
              </w:rPr>
              <w:t>Neakceptováno</w:t>
            </w:r>
            <w:r w:rsidRPr="00F85FF9">
              <w:rPr>
                <w:sz w:val="22"/>
                <w:szCs w:val="22"/>
              </w:rPr>
              <w:t>. Jde o explicitní kodifikaci dlouhodobé správní praxe, která se úpravou metodických materiálů nemění. Tvůrčí, resp. vědecká a umělecká činnost bude nadále posuzována s ohledem na typ a profil studijního programu.</w:t>
            </w:r>
          </w:p>
          <w:p w14:paraId="0E167157" w14:textId="77777777" w:rsidR="001352AA" w:rsidRPr="00F85FF9" w:rsidRDefault="001352AA" w:rsidP="13403F21">
            <w:pPr>
              <w:spacing w:before="20"/>
              <w:rPr>
                <w:sz w:val="22"/>
                <w:szCs w:val="22"/>
              </w:rPr>
            </w:pPr>
          </w:p>
          <w:p w14:paraId="06590253" w14:textId="0C5680BC" w:rsidR="001352AA" w:rsidRPr="00F85FF9" w:rsidRDefault="69B84188" w:rsidP="13403F21">
            <w:pPr>
              <w:spacing w:before="20"/>
              <w:rPr>
                <w:sz w:val="22"/>
                <w:szCs w:val="22"/>
              </w:rPr>
            </w:pPr>
            <w:r w:rsidRPr="00F85FF9">
              <w:rPr>
                <w:sz w:val="22"/>
                <w:szCs w:val="22"/>
              </w:rPr>
              <w:t xml:space="preserve">Interní grantové projekty či projekty rozvojového charakteru je možné uvádět do části přílohy C-II </w:t>
            </w:r>
            <w:r w:rsidRPr="00F85FF9">
              <w:rPr>
                <w:i/>
                <w:iCs/>
                <w:sz w:val="22"/>
                <w:szCs w:val="22"/>
              </w:rPr>
              <w:t>Odborné aktivity vztahující se k tvůrčí, resp. vědecké a umělecké činnosti vysoké školy</w:t>
            </w:r>
            <w:r w:rsidRPr="00F85FF9">
              <w:rPr>
                <w:sz w:val="22"/>
                <w:szCs w:val="22"/>
              </w:rPr>
              <w:t xml:space="preserve">, která souvisí se studijním programem. Indikativní výčet aktivit v metodickém </w:t>
            </w:r>
            <w:r w:rsidRPr="00F85FF9">
              <w:rPr>
                <w:sz w:val="22"/>
                <w:szCs w:val="22"/>
              </w:rPr>
              <w:lastRenderedPageBreak/>
              <w:t>materiálu (a) bude v tomto smyslu rozšířen.</w:t>
            </w:r>
          </w:p>
        </w:tc>
      </w:tr>
      <w:tr w:rsidR="0061594B" w:rsidRPr="00137F8C" w14:paraId="00EB0B9A" w14:textId="77777777" w:rsidTr="13403F21">
        <w:trPr>
          <w:trHeight w:val="567"/>
        </w:trPr>
        <w:tc>
          <w:tcPr>
            <w:tcW w:w="174" w:type="pct"/>
          </w:tcPr>
          <w:p w14:paraId="60286BE6" w14:textId="77777777" w:rsidR="0061594B" w:rsidRPr="00137F8C" w:rsidRDefault="0061594B" w:rsidP="0061594B">
            <w:pPr>
              <w:numPr>
                <w:ilvl w:val="0"/>
                <w:numId w:val="1"/>
              </w:numPr>
              <w:spacing w:before="20"/>
              <w:rPr>
                <w:b/>
                <w:sz w:val="22"/>
                <w:szCs w:val="22"/>
              </w:rPr>
            </w:pPr>
          </w:p>
        </w:tc>
        <w:tc>
          <w:tcPr>
            <w:tcW w:w="633" w:type="pct"/>
          </w:tcPr>
          <w:p w14:paraId="09C03C63" w14:textId="77777777" w:rsidR="0061594B" w:rsidRPr="00137F8C" w:rsidRDefault="0061594B" w:rsidP="0061594B">
            <w:pPr>
              <w:spacing w:before="20"/>
              <w:rPr>
                <w:bCs/>
                <w:iCs/>
                <w:sz w:val="22"/>
                <w:szCs w:val="22"/>
              </w:rPr>
            </w:pPr>
            <w:r w:rsidRPr="00137F8C">
              <w:rPr>
                <w:bCs/>
                <w:iCs/>
                <w:sz w:val="22"/>
                <w:szCs w:val="22"/>
              </w:rPr>
              <w:t>b</w:t>
            </w:r>
          </w:p>
        </w:tc>
        <w:tc>
          <w:tcPr>
            <w:tcW w:w="557" w:type="pct"/>
          </w:tcPr>
          <w:p w14:paraId="2ED94FAC" w14:textId="77777777" w:rsidR="0061594B" w:rsidRPr="00137F8C" w:rsidRDefault="0061594B" w:rsidP="0061594B">
            <w:pPr>
              <w:spacing w:before="20"/>
              <w:rPr>
                <w:bCs/>
                <w:iCs/>
                <w:sz w:val="22"/>
                <w:szCs w:val="22"/>
              </w:rPr>
            </w:pPr>
            <w:r w:rsidRPr="00137F8C">
              <w:rPr>
                <w:bCs/>
                <w:iCs/>
                <w:sz w:val="22"/>
                <w:szCs w:val="22"/>
              </w:rPr>
              <w:t>3.5,3.6</w:t>
            </w:r>
          </w:p>
          <w:p w14:paraId="61D24BAE" w14:textId="77777777" w:rsidR="0061594B" w:rsidRPr="00137F8C" w:rsidRDefault="0061594B" w:rsidP="0061594B">
            <w:pPr>
              <w:spacing w:before="20"/>
              <w:rPr>
                <w:bCs/>
                <w:iCs/>
                <w:sz w:val="22"/>
                <w:szCs w:val="22"/>
              </w:rPr>
            </w:pPr>
            <w:r w:rsidRPr="00137F8C">
              <w:rPr>
                <w:bCs/>
                <w:iCs/>
                <w:sz w:val="22"/>
                <w:szCs w:val="22"/>
              </w:rPr>
              <w:t>Str. 11</w:t>
            </w:r>
          </w:p>
        </w:tc>
        <w:tc>
          <w:tcPr>
            <w:tcW w:w="1285" w:type="pct"/>
          </w:tcPr>
          <w:p w14:paraId="5BAE3604" w14:textId="77777777" w:rsidR="0061594B" w:rsidRDefault="0061594B" w:rsidP="0061594B">
            <w:pPr>
              <w:autoSpaceDE w:val="0"/>
              <w:autoSpaceDN w:val="0"/>
              <w:adjustRightInd w:val="0"/>
              <w:rPr>
                <w:color w:val="000000"/>
                <w:sz w:val="23"/>
                <w:szCs w:val="23"/>
              </w:rPr>
            </w:pPr>
            <w:r>
              <w:rPr>
                <w:color w:val="000000"/>
                <w:sz w:val="23"/>
                <w:szCs w:val="23"/>
              </w:rPr>
              <w:t xml:space="preserve">Odrážka </w:t>
            </w:r>
            <w:proofErr w:type="gramStart"/>
            <w:r>
              <w:rPr>
                <w:color w:val="000000"/>
                <w:sz w:val="23"/>
                <w:szCs w:val="23"/>
              </w:rPr>
              <w:t>1 - V</w:t>
            </w:r>
            <w:proofErr w:type="gramEnd"/>
            <w:r>
              <w:rPr>
                <w:color w:val="000000"/>
                <w:sz w:val="23"/>
                <w:szCs w:val="23"/>
              </w:rPr>
              <w:t xml:space="preserve"> případě bakalářského a magisterského profesně zaměřeného studijního programu se vyžaduje tvůrčí činnost. V posledních 3 letech jsou nebo byly řešeny projekty smluvního výzkumu, či další formy spolupráce s praxí související se zaměřením studijního programu prokazující odborné zázemí vysoké školy a uplatnitelnost výsledků tvůrčí činnost v praxi.</w:t>
            </w:r>
          </w:p>
          <w:p w14:paraId="455B0F32" w14:textId="77777777" w:rsidR="0061594B" w:rsidRPr="00137F8C" w:rsidRDefault="0061594B" w:rsidP="0061594B">
            <w:pPr>
              <w:spacing w:before="20"/>
              <w:rPr>
                <w:bCs/>
                <w:iCs/>
                <w:color w:val="FF0000"/>
                <w:sz w:val="22"/>
                <w:szCs w:val="22"/>
              </w:rPr>
            </w:pPr>
          </w:p>
        </w:tc>
        <w:tc>
          <w:tcPr>
            <w:tcW w:w="1702" w:type="pct"/>
          </w:tcPr>
          <w:p w14:paraId="5162BF8A" w14:textId="77777777" w:rsidR="0061594B" w:rsidRPr="00137F8C" w:rsidRDefault="0061594B" w:rsidP="0061594B">
            <w:pPr>
              <w:spacing w:before="20"/>
              <w:rPr>
                <w:sz w:val="22"/>
                <w:szCs w:val="22"/>
              </w:rPr>
            </w:pPr>
            <w:r w:rsidRPr="00137F8C">
              <w:rPr>
                <w:sz w:val="22"/>
                <w:szCs w:val="22"/>
              </w:rPr>
              <w:t xml:space="preserve">Smluvní výzkum v oblasti vysokého uměleckého školství se prakticky nedosažitelný, což plyne ze stavu podfinancování kultury a jejich převažujících příspěvkových organizací. Umělecká činnost se tak na UVŠ realizuje přes tvorbu studentů ve specializovaných finálních pracovištích (divadla, koncertní sály, nahrávací studia…) v rámci praktické výuky. Spolupráce s praxí v oblasti UVŠ se realizuje především zapojením umělců z praxe do výuky a v menší míře pak zapojením studentů do činnosti profesionálních uměleckých těles. </w:t>
            </w:r>
          </w:p>
          <w:p w14:paraId="545AEAD2" w14:textId="77777777" w:rsidR="0061594B" w:rsidRPr="00137F8C" w:rsidRDefault="0061594B" w:rsidP="0061594B">
            <w:pPr>
              <w:spacing w:before="20"/>
              <w:rPr>
                <w:b/>
                <w:bCs/>
                <w:sz w:val="22"/>
                <w:szCs w:val="22"/>
              </w:rPr>
            </w:pPr>
            <w:r w:rsidRPr="00137F8C">
              <w:rPr>
                <w:b/>
                <w:bCs/>
                <w:sz w:val="22"/>
                <w:szCs w:val="22"/>
              </w:rPr>
              <w:t>Předpokládáme, že lze tyto formy zahrnout pod „další formy spolupráce“</w:t>
            </w:r>
          </w:p>
        </w:tc>
        <w:tc>
          <w:tcPr>
            <w:tcW w:w="649" w:type="pct"/>
          </w:tcPr>
          <w:p w14:paraId="3EEF6463" w14:textId="348F7FE9" w:rsidR="0061594B" w:rsidRPr="00137F8C" w:rsidRDefault="00B16449" w:rsidP="0061594B">
            <w:pPr>
              <w:spacing w:before="20"/>
              <w:rPr>
                <w:sz w:val="22"/>
                <w:szCs w:val="22"/>
              </w:rPr>
            </w:pPr>
            <w:r w:rsidRPr="34F5C39D">
              <w:rPr>
                <w:b/>
                <w:bCs/>
                <w:sz w:val="22"/>
                <w:szCs w:val="22"/>
              </w:rPr>
              <w:t>Vysvětleno</w:t>
            </w:r>
            <w:r w:rsidRPr="34F5C39D">
              <w:rPr>
                <w:sz w:val="22"/>
                <w:szCs w:val="22"/>
              </w:rPr>
              <w:t>. V případě umělecky zaměřených studijních programů se uvede i umělecká činnost.</w:t>
            </w:r>
          </w:p>
        </w:tc>
      </w:tr>
      <w:tr w:rsidR="0061594B" w:rsidRPr="00137F8C" w14:paraId="37090E4D" w14:textId="77777777" w:rsidTr="13403F21">
        <w:trPr>
          <w:trHeight w:val="567"/>
        </w:trPr>
        <w:tc>
          <w:tcPr>
            <w:tcW w:w="174" w:type="pct"/>
          </w:tcPr>
          <w:p w14:paraId="5428BA0F" w14:textId="77777777" w:rsidR="0061594B" w:rsidRPr="00137F8C" w:rsidRDefault="0061594B" w:rsidP="0061594B">
            <w:pPr>
              <w:numPr>
                <w:ilvl w:val="0"/>
                <w:numId w:val="1"/>
              </w:numPr>
              <w:spacing w:before="20"/>
              <w:rPr>
                <w:b/>
                <w:sz w:val="22"/>
                <w:szCs w:val="22"/>
              </w:rPr>
            </w:pPr>
          </w:p>
        </w:tc>
        <w:tc>
          <w:tcPr>
            <w:tcW w:w="633" w:type="pct"/>
          </w:tcPr>
          <w:p w14:paraId="3976A43F" w14:textId="77777777" w:rsidR="0061594B" w:rsidRPr="00137F8C" w:rsidRDefault="0061594B" w:rsidP="0061594B">
            <w:pPr>
              <w:spacing w:before="20"/>
              <w:rPr>
                <w:sz w:val="22"/>
                <w:szCs w:val="22"/>
              </w:rPr>
            </w:pPr>
            <w:r w:rsidRPr="00137F8C">
              <w:rPr>
                <w:sz w:val="22"/>
                <w:szCs w:val="22"/>
              </w:rPr>
              <w:t>b</w:t>
            </w:r>
          </w:p>
        </w:tc>
        <w:tc>
          <w:tcPr>
            <w:tcW w:w="557" w:type="pct"/>
          </w:tcPr>
          <w:p w14:paraId="1787DF2E" w14:textId="77777777" w:rsidR="0061594B" w:rsidRPr="00137F8C" w:rsidRDefault="0061594B" w:rsidP="0061594B">
            <w:pPr>
              <w:spacing w:before="20"/>
              <w:rPr>
                <w:sz w:val="22"/>
                <w:szCs w:val="22"/>
              </w:rPr>
            </w:pPr>
            <w:r w:rsidRPr="00137F8C">
              <w:rPr>
                <w:sz w:val="22"/>
                <w:szCs w:val="22"/>
              </w:rPr>
              <w:t>3.5.,3.6.</w:t>
            </w:r>
          </w:p>
          <w:p w14:paraId="52899677" w14:textId="77777777" w:rsidR="0061594B" w:rsidRPr="00137F8C" w:rsidRDefault="0061594B" w:rsidP="0061594B">
            <w:pPr>
              <w:spacing w:before="20"/>
              <w:rPr>
                <w:sz w:val="22"/>
                <w:szCs w:val="22"/>
              </w:rPr>
            </w:pPr>
            <w:r w:rsidRPr="00137F8C">
              <w:rPr>
                <w:sz w:val="22"/>
                <w:szCs w:val="22"/>
              </w:rPr>
              <w:t>Str. 11</w:t>
            </w:r>
          </w:p>
        </w:tc>
        <w:tc>
          <w:tcPr>
            <w:tcW w:w="1285" w:type="pct"/>
          </w:tcPr>
          <w:p w14:paraId="035E3A43" w14:textId="77777777" w:rsidR="0061594B" w:rsidRPr="00137F8C" w:rsidRDefault="0061594B" w:rsidP="0061594B">
            <w:pPr>
              <w:spacing w:before="20"/>
              <w:rPr>
                <w:sz w:val="22"/>
                <w:szCs w:val="22"/>
              </w:rPr>
            </w:pPr>
            <w:r w:rsidRPr="00137F8C">
              <w:rPr>
                <w:sz w:val="22"/>
                <w:szCs w:val="22"/>
              </w:rPr>
              <w:t xml:space="preserve">Odrážka 2 – umělecké granty a projekty u </w:t>
            </w:r>
            <w:proofErr w:type="spellStart"/>
            <w:r w:rsidRPr="00137F8C">
              <w:rPr>
                <w:sz w:val="22"/>
                <w:szCs w:val="22"/>
              </w:rPr>
              <w:t>bakalářsky</w:t>
            </w:r>
            <w:proofErr w:type="spellEnd"/>
            <w:r w:rsidRPr="00137F8C">
              <w:rPr>
                <w:sz w:val="22"/>
                <w:szCs w:val="22"/>
              </w:rPr>
              <w:t xml:space="preserve"> zaměřeného studijního programu</w:t>
            </w:r>
          </w:p>
          <w:p w14:paraId="50EDC673" w14:textId="77777777" w:rsidR="0061594B" w:rsidRPr="00137F8C" w:rsidRDefault="0061594B" w:rsidP="0061594B">
            <w:pPr>
              <w:spacing w:before="20"/>
              <w:rPr>
                <w:sz w:val="22"/>
                <w:szCs w:val="22"/>
              </w:rPr>
            </w:pPr>
            <w:r w:rsidRPr="00137F8C">
              <w:rPr>
                <w:sz w:val="22"/>
                <w:szCs w:val="22"/>
              </w:rPr>
              <w:t>Odrážka 3 – umělecké granty a projekty u magisterského profesně zaměřeného studijního programu</w:t>
            </w:r>
          </w:p>
          <w:p w14:paraId="4CE306C3" w14:textId="77777777" w:rsidR="0061594B" w:rsidRPr="00137F8C" w:rsidRDefault="0061594B" w:rsidP="0061594B">
            <w:pPr>
              <w:spacing w:before="20"/>
              <w:rPr>
                <w:sz w:val="22"/>
                <w:szCs w:val="22"/>
              </w:rPr>
            </w:pPr>
            <w:r w:rsidRPr="00137F8C">
              <w:rPr>
                <w:sz w:val="22"/>
                <w:szCs w:val="22"/>
              </w:rPr>
              <w:t>Odrážka 4 – umělecké granty a projekty u magisterského akademického studijního programu</w:t>
            </w:r>
          </w:p>
          <w:p w14:paraId="3C8750A4" w14:textId="77777777" w:rsidR="0061594B" w:rsidRPr="00137F8C" w:rsidRDefault="0061594B" w:rsidP="0061594B">
            <w:pPr>
              <w:spacing w:before="20"/>
              <w:rPr>
                <w:sz w:val="22"/>
                <w:szCs w:val="22"/>
              </w:rPr>
            </w:pPr>
            <w:r w:rsidRPr="00137F8C">
              <w:rPr>
                <w:sz w:val="22"/>
                <w:szCs w:val="22"/>
              </w:rPr>
              <w:t>Odrážka 5 – umělecké granty a projekty u doktorského studijního programu</w:t>
            </w:r>
          </w:p>
          <w:p w14:paraId="2E2D6956" w14:textId="77777777" w:rsidR="0061594B" w:rsidRPr="00137F8C" w:rsidRDefault="0061594B" w:rsidP="0061594B">
            <w:pPr>
              <w:spacing w:before="20"/>
              <w:rPr>
                <w:sz w:val="22"/>
                <w:szCs w:val="22"/>
              </w:rPr>
            </w:pPr>
          </w:p>
          <w:p w14:paraId="1F2EE634" w14:textId="77777777" w:rsidR="0061594B" w:rsidRPr="00137F8C" w:rsidRDefault="0061594B" w:rsidP="0061594B">
            <w:pPr>
              <w:spacing w:before="20"/>
              <w:rPr>
                <w:b/>
                <w:bCs/>
                <w:sz w:val="22"/>
                <w:szCs w:val="22"/>
              </w:rPr>
            </w:pPr>
            <w:r w:rsidRPr="00137F8C">
              <w:rPr>
                <w:b/>
                <w:bCs/>
                <w:sz w:val="22"/>
                <w:szCs w:val="22"/>
              </w:rPr>
              <w:t xml:space="preserve">Návrh – vložit v odrážkách 2-5 za slovo projekty „(včetně výstupů registrovaných školou v RUV dle § 77c ZVŠ)“                                                                                                                                                                                                                                                                                                                                                                                                                                                                                                                                                                                                                                                                                                                                                                                                                                                                                                                                                                                                                                                                                                                                                                             </w:t>
            </w:r>
          </w:p>
        </w:tc>
        <w:tc>
          <w:tcPr>
            <w:tcW w:w="1702" w:type="pct"/>
          </w:tcPr>
          <w:p w14:paraId="65422A30" w14:textId="77777777" w:rsidR="0061594B" w:rsidRPr="00137F8C" w:rsidRDefault="0061594B" w:rsidP="0061594B">
            <w:pPr>
              <w:spacing w:before="20"/>
              <w:rPr>
                <w:bCs/>
                <w:sz w:val="22"/>
                <w:szCs w:val="22"/>
              </w:rPr>
            </w:pPr>
            <w:r w:rsidRPr="00137F8C">
              <w:rPr>
                <w:bCs/>
                <w:sz w:val="22"/>
                <w:szCs w:val="22"/>
              </w:rPr>
              <w:t xml:space="preserve">Umělecké granty jsou chimérou v profesním </w:t>
            </w:r>
            <w:proofErr w:type="gramStart"/>
            <w:r w:rsidRPr="00137F8C">
              <w:rPr>
                <w:bCs/>
                <w:sz w:val="22"/>
                <w:szCs w:val="22"/>
              </w:rPr>
              <w:t>uměleckém  prostředí</w:t>
            </w:r>
            <w:proofErr w:type="gramEnd"/>
            <w:r w:rsidRPr="00137F8C">
              <w:rPr>
                <w:bCs/>
                <w:sz w:val="22"/>
                <w:szCs w:val="22"/>
              </w:rPr>
              <w:t xml:space="preserve">, natož s ohledem na VŠ. Veřejná vysoká škola je v řadě grantových řízení právní formou, která se sice může o granty ucházet, ale v podfinancovaném sektoru kultury (na všech stupních veřejné správy) je v rámci posouzení odbornými komisemi v pořadí pozitivně vyhodnocených, nicméně nepodpořených projektů. Na modelu velmi grantově aktivní JAMU můžeme </w:t>
            </w:r>
            <w:proofErr w:type="gramStart"/>
            <w:r w:rsidRPr="00137F8C">
              <w:rPr>
                <w:bCs/>
                <w:sz w:val="22"/>
                <w:szCs w:val="22"/>
              </w:rPr>
              <w:t>říci</w:t>
            </w:r>
            <w:proofErr w:type="gramEnd"/>
            <w:r w:rsidRPr="00137F8C">
              <w:rPr>
                <w:bCs/>
                <w:sz w:val="22"/>
                <w:szCs w:val="22"/>
              </w:rPr>
              <w:t>, že uspějeme v rámci grantových řízení s cca 2 projekty ročně, ty jsou však zastřešující pro projekty společné všem studijním programům. A v blízké budoucnosti tomu tak nebude. V případě kolektivních (</w:t>
            </w:r>
            <w:proofErr w:type="spellStart"/>
            <w:r w:rsidRPr="00137F8C">
              <w:rPr>
                <w:bCs/>
                <w:sz w:val="22"/>
                <w:szCs w:val="22"/>
              </w:rPr>
              <w:t>performačních</w:t>
            </w:r>
            <w:proofErr w:type="spellEnd"/>
            <w:r w:rsidRPr="00137F8C">
              <w:rPr>
                <w:bCs/>
                <w:sz w:val="22"/>
                <w:szCs w:val="22"/>
              </w:rPr>
              <w:t xml:space="preserve"> umění) se navíc v grantových řízeních neuplatníme s individuálním grantem. Příjemcem/</w:t>
            </w:r>
            <w:proofErr w:type="spellStart"/>
            <w:r w:rsidRPr="00137F8C">
              <w:rPr>
                <w:bCs/>
                <w:sz w:val="22"/>
                <w:szCs w:val="22"/>
              </w:rPr>
              <w:t>spolupříjemcem</w:t>
            </w:r>
            <w:proofErr w:type="spellEnd"/>
            <w:r w:rsidRPr="00137F8C">
              <w:rPr>
                <w:bCs/>
                <w:sz w:val="22"/>
                <w:szCs w:val="22"/>
              </w:rPr>
              <w:t xml:space="preserve"> má být VŠ, </w:t>
            </w:r>
            <w:proofErr w:type="gramStart"/>
            <w:r w:rsidRPr="00137F8C">
              <w:rPr>
                <w:bCs/>
                <w:sz w:val="22"/>
                <w:szCs w:val="22"/>
              </w:rPr>
              <w:t>ale  umělec</w:t>
            </w:r>
            <w:proofErr w:type="gramEnd"/>
            <w:r w:rsidRPr="00137F8C">
              <w:rPr>
                <w:bCs/>
                <w:sz w:val="22"/>
                <w:szCs w:val="22"/>
              </w:rPr>
              <w:t xml:space="preserve"> – pedagog, realizuje dílo/výkon  v kontextu jiné právnické osoby – profesionální instituce, nicméně v rámci tvůrčí činnosti pedagoga školy (viz Registr uměleckých výkonů). Příjemcem grantu je jiná právnická osoba… navíc v případě </w:t>
            </w:r>
            <w:proofErr w:type="spellStart"/>
            <w:r w:rsidRPr="00137F8C">
              <w:rPr>
                <w:bCs/>
                <w:sz w:val="22"/>
                <w:szCs w:val="22"/>
              </w:rPr>
              <w:t>performačních</w:t>
            </w:r>
            <w:proofErr w:type="spellEnd"/>
            <w:r w:rsidRPr="00137F8C">
              <w:rPr>
                <w:bCs/>
                <w:sz w:val="22"/>
                <w:szCs w:val="22"/>
              </w:rPr>
              <w:t xml:space="preserve"> umění je tvůrčí činnost </w:t>
            </w:r>
            <w:r w:rsidRPr="00137F8C">
              <w:rPr>
                <w:bCs/>
                <w:sz w:val="22"/>
                <w:szCs w:val="22"/>
              </w:rPr>
              <w:lastRenderedPageBreak/>
              <w:t>realizována v rámci příspěvkových institucí z příspěvku, nikoliv z grantu/účelové dotace).</w:t>
            </w:r>
          </w:p>
          <w:p w14:paraId="36595059" w14:textId="77777777" w:rsidR="0061594B" w:rsidRPr="00137F8C" w:rsidRDefault="0061594B" w:rsidP="0061594B">
            <w:pPr>
              <w:spacing w:before="20"/>
              <w:rPr>
                <w:bCs/>
                <w:sz w:val="22"/>
                <w:szCs w:val="22"/>
              </w:rPr>
            </w:pPr>
            <w:r w:rsidRPr="00137F8C">
              <w:rPr>
                <w:bCs/>
                <w:sz w:val="22"/>
                <w:szCs w:val="22"/>
              </w:rPr>
              <w:t>V tomto případě vysoké umělecké školy budou velmi často vykazovat velmi malé počty grantů, jejichž příjemcem je škola, což ovšem zkreslí pohled na tvůrčí uměleckou aktivitu pedagogů školy realizovanou v profesionálním prostředí.</w:t>
            </w:r>
          </w:p>
          <w:p w14:paraId="1B6C492A" w14:textId="77777777" w:rsidR="0061594B" w:rsidRPr="00137F8C" w:rsidRDefault="0061594B" w:rsidP="0061594B">
            <w:pPr>
              <w:spacing w:before="20"/>
              <w:rPr>
                <w:bCs/>
                <w:sz w:val="22"/>
                <w:szCs w:val="22"/>
              </w:rPr>
            </w:pPr>
          </w:p>
        </w:tc>
        <w:tc>
          <w:tcPr>
            <w:tcW w:w="649" w:type="pct"/>
          </w:tcPr>
          <w:p w14:paraId="21581CF6" w14:textId="7E66AE87" w:rsidR="00BE0342" w:rsidRPr="00F85FF9" w:rsidRDefault="00F85FF9" w:rsidP="00BE0342">
            <w:pPr>
              <w:spacing w:before="20"/>
              <w:rPr>
                <w:b/>
                <w:bCs/>
                <w:sz w:val="22"/>
                <w:szCs w:val="22"/>
              </w:rPr>
            </w:pPr>
            <w:r w:rsidRPr="00F85FF9">
              <w:rPr>
                <w:b/>
                <w:bCs/>
                <w:sz w:val="22"/>
                <w:szCs w:val="22"/>
              </w:rPr>
              <w:lastRenderedPageBreak/>
              <w:t>Akceptováno.</w:t>
            </w:r>
          </w:p>
          <w:p w14:paraId="243F9A24" w14:textId="77777777" w:rsidR="0061594B" w:rsidRPr="00137F8C" w:rsidRDefault="0061594B" w:rsidP="0061594B">
            <w:pPr>
              <w:spacing w:before="20"/>
              <w:rPr>
                <w:sz w:val="22"/>
                <w:szCs w:val="22"/>
              </w:rPr>
            </w:pPr>
          </w:p>
        </w:tc>
      </w:tr>
      <w:tr w:rsidR="0061594B" w:rsidRPr="00137F8C" w14:paraId="2B71CBFF" w14:textId="77777777" w:rsidTr="13403F21">
        <w:trPr>
          <w:trHeight w:val="567"/>
        </w:trPr>
        <w:tc>
          <w:tcPr>
            <w:tcW w:w="174" w:type="pct"/>
          </w:tcPr>
          <w:p w14:paraId="717674CA" w14:textId="77777777" w:rsidR="0061594B" w:rsidRPr="00137F8C" w:rsidRDefault="0061594B" w:rsidP="0061594B">
            <w:pPr>
              <w:numPr>
                <w:ilvl w:val="0"/>
                <w:numId w:val="1"/>
              </w:numPr>
              <w:spacing w:before="20"/>
              <w:rPr>
                <w:b/>
                <w:sz w:val="22"/>
                <w:szCs w:val="22"/>
              </w:rPr>
            </w:pPr>
          </w:p>
        </w:tc>
        <w:tc>
          <w:tcPr>
            <w:tcW w:w="633" w:type="pct"/>
          </w:tcPr>
          <w:p w14:paraId="686B5AE6" w14:textId="77777777" w:rsidR="0061594B" w:rsidRPr="00137F8C" w:rsidRDefault="0061594B" w:rsidP="0061594B">
            <w:pPr>
              <w:spacing w:before="20"/>
              <w:rPr>
                <w:sz w:val="22"/>
                <w:szCs w:val="22"/>
              </w:rPr>
            </w:pPr>
            <w:r w:rsidRPr="00137F8C">
              <w:rPr>
                <w:sz w:val="22"/>
                <w:szCs w:val="22"/>
              </w:rPr>
              <w:t>b</w:t>
            </w:r>
          </w:p>
        </w:tc>
        <w:tc>
          <w:tcPr>
            <w:tcW w:w="557" w:type="pct"/>
          </w:tcPr>
          <w:p w14:paraId="798B0A95" w14:textId="77777777" w:rsidR="0061594B" w:rsidRPr="00137F8C" w:rsidRDefault="0061594B" w:rsidP="0061594B">
            <w:pPr>
              <w:spacing w:before="20"/>
              <w:rPr>
                <w:sz w:val="22"/>
                <w:szCs w:val="22"/>
              </w:rPr>
            </w:pPr>
            <w:r w:rsidRPr="00137F8C">
              <w:rPr>
                <w:sz w:val="22"/>
                <w:szCs w:val="22"/>
              </w:rPr>
              <w:t>5.2.ba</w:t>
            </w:r>
          </w:p>
          <w:p w14:paraId="6621FEF2" w14:textId="77777777" w:rsidR="0061594B" w:rsidRPr="00137F8C" w:rsidRDefault="0061594B" w:rsidP="0061594B">
            <w:pPr>
              <w:spacing w:before="20"/>
              <w:rPr>
                <w:sz w:val="22"/>
                <w:szCs w:val="22"/>
              </w:rPr>
            </w:pPr>
            <w:r w:rsidRPr="00137F8C">
              <w:rPr>
                <w:sz w:val="22"/>
                <w:szCs w:val="22"/>
              </w:rPr>
              <w:t>Druhý odstavec</w:t>
            </w:r>
          </w:p>
          <w:p w14:paraId="413E7DD4" w14:textId="77777777" w:rsidR="0061594B" w:rsidRPr="00137F8C" w:rsidRDefault="0061594B" w:rsidP="0061594B">
            <w:pPr>
              <w:spacing w:before="20"/>
              <w:rPr>
                <w:sz w:val="22"/>
                <w:szCs w:val="22"/>
              </w:rPr>
            </w:pPr>
            <w:r w:rsidRPr="00137F8C">
              <w:rPr>
                <w:sz w:val="22"/>
                <w:szCs w:val="22"/>
              </w:rPr>
              <w:t>Str.15</w:t>
            </w:r>
          </w:p>
        </w:tc>
        <w:tc>
          <w:tcPr>
            <w:tcW w:w="1285" w:type="pct"/>
          </w:tcPr>
          <w:p w14:paraId="156E07C8" w14:textId="77777777" w:rsidR="0061594B" w:rsidRPr="00137F8C" w:rsidRDefault="0061594B" w:rsidP="0061594B">
            <w:pPr>
              <w:spacing w:before="20"/>
              <w:rPr>
                <w:sz w:val="23"/>
                <w:szCs w:val="23"/>
              </w:rPr>
            </w:pPr>
            <w:r w:rsidRPr="00137F8C">
              <w:rPr>
                <w:b/>
                <w:bCs/>
                <w:sz w:val="23"/>
                <w:szCs w:val="23"/>
              </w:rPr>
              <w:t xml:space="preserve">Garant musí mít odpovídající vědeckou nebo uměleckou činnost za posledních 5 let, jež odpovídá oblasti nebo oblastem vzdělávání, v </w:t>
            </w:r>
            <w:proofErr w:type="gramStart"/>
            <w:r w:rsidRPr="00137F8C">
              <w:rPr>
                <w:b/>
                <w:bCs/>
                <w:sz w:val="23"/>
                <w:szCs w:val="23"/>
              </w:rPr>
              <w:t>rámci</w:t>
            </w:r>
            <w:proofErr w:type="gramEnd"/>
            <w:r w:rsidRPr="00137F8C">
              <w:rPr>
                <w:b/>
                <w:bCs/>
                <w:sz w:val="23"/>
                <w:szCs w:val="23"/>
              </w:rPr>
              <w:t xml:space="preserve"> které nebo v rámci kterých má být bakalářský studijní program uskutečňován</w:t>
            </w:r>
            <w:r w:rsidRPr="00137F8C">
              <w:rPr>
                <w:sz w:val="23"/>
                <w:szCs w:val="23"/>
              </w:rPr>
              <w:t>. Podle povahy jednotlivých oblastí vzdělávání se jedná zejména o publikace v impaktovaných časopisech, recenzovaných odborných časopisech, monografie, zvané plenární přednášky na zahraničních konferencích, v uměleckých studijních programech odpovídající umělecká díla.</w:t>
            </w:r>
          </w:p>
          <w:p w14:paraId="392D4E5C" w14:textId="77777777" w:rsidR="0061594B" w:rsidRPr="00137F8C" w:rsidRDefault="0061594B" w:rsidP="0061594B">
            <w:pPr>
              <w:spacing w:before="20"/>
              <w:rPr>
                <w:b/>
                <w:bCs/>
                <w:sz w:val="22"/>
                <w:szCs w:val="22"/>
              </w:rPr>
            </w:pPr>
          </w:p>
          <w:p w14:paraId="1A23FCEF" w14:textId="77777777" w:rsidR="0061594B" w:rsidRPr="00137F8C" w:rsidRDefault="0061594B" w:rsidP="0061594B">
            <w:pPr>
              <w:spacing w:before="20"/>
              <w:rPr>
                <w:b/>
                <w:bCs/>
                <w:sz w:val="22"/>
                <w:szCs w:val="22"/>
              </w:rPr>
            </w:pPr>
            <w:r w:rsidRPr="00137F8C">
              <w:rPr>
                <w:b/>
                <w:bCs/>
                <w:sz w:val="22"/>
                <w:szCs w:val="22"/>
              </w:rPr>
              <w:t xml:space="preserve">Na konec odstavce </w:t>
            </w:r>
            <w:proofErr w:type="spellStart"/>
            <w:r w:rsidRPr="00137F8C">
              <w:rPr>
                <w:b/>
                <w:bCs/>
                <w:sz w:val="22"/>
                <w:szCs w:val="22"/>
              </w:rPr>
              <w:t>doplnit:“či</w:t>
            </w:r>
            <w:proofErr w:type="spellEnd"/>
            <w:r w:rsidRPr="00137F8C">
              <w:rPr>
                <w:b/>
                <w:bCs/>
                <w:sz w:val="22"/>
                <w:szCs w:val="22"/>
              </w:rPr>
              <w:t xml:space="preserve"> umělecké výkony“.</w:t>
            </w:r>
          </w:p>
        </w:tc>
        <w:tc>
          <w:tcPr>
            <w:tcW w:w="1702" w:type="pct"/>
          </w:tcPr>
          <w:p w14:paraId="71AB2AAC" w14:textId="77777777" w:rsidR="0061594B" w:rsidRPr="00137F8C" w:rsidRDefault="0061594B" w:rsidP="0061594B">
            <w:pPr>
              <w:spacing w:before="20"/>
              <w:rPr>
                <w:bCs/>
                <w:sz w:val="22"/>
                <w:szCs w:val="22"/>
              </w:rPr>
            </w:pPr>
            <w:r w:rsidRPr="00137F8C">
              <w:rPr>
                <w:bCs/>
                <w:sz w:val="22"/>
                <w:szCs w:val="22"/>
              </w:rPr>
              <w:t>Garant studijního programu musí mít odpovídající uměleckou činnost, tj. umělecká díla. Zde doporučuji doplnit „umělecká díla či výkony“, protože z hlediska autorského práva se jedná o dvě různé povahy realizací. Navíc samotný RUV je registrem uměleckých výkonů, protože hodnotí umělecký díla, ale také výkony, jež jsou součástí kolektivních uměleckých realizací. A připomínám, že tato umělecká díla a umělecké výkony realizuje garant (a pedagogové) mimo institucionální rámec VŠ.</w:t>
            </w:r>
          </w:p>
        </w:tc>
        <w:tc>
          <w:tcPr>
            <w:tcW w:w="649" w:type="pct"/>
          </w:tcPr>
          <w:p w14:paraId="67600863" w14:textId="61ED49E1" w:rsidR="0055127D" w:rsidRPr="00F85FF9" w:rsidRDefault="00F85FF9" w:rsidP="0055127D">
            <w:pPr>
              <w:spacing w:before="20"/>
              <w:rPr>
                <w:b/>
                <w:bCs/>
                <w:sz w:val="22"/>
                <w:szCs w:val="22"/>
              </w:rPr>
            </w:pPr>
            <w:r w:rsidRPr="00F85FF9">
              <w:rPr>
                <w:b/>
                <w:bCs/>
                <w:sz w:val="22"/>
                <w:szCs w:val="22"/>
              </w:rPr>
              <w:t>Akceptováno.</w:t>
            </w:r>
          </w:p>
          <w:p w14:paraId="4E90FE1F" w14:textId="77777777" w:rsidR="0061594B" w:rsidRPr="00F85FF9" w:rsidRDefault="0061594B" w:rsidP="0061594B">
            <w:pPr>
              <w:spacing w:before="20"/>
              <w:rPr>
                <w:b/>
                <w:bCs/>
                <w:sz w:val="22"/>
                <w:szCs w:val="22"/>
              </w:rPr>
            </w:pPr>
          </w:p>
        </w:tc>
      </w:tr>
      <w:tr w:rsidR="0061594B" w:rsidRPr="00137F8C" w14:paraId="70EF557A" w14:textId="77777777" w:rsidTr="13403F21">
        <w:trPr>
          <w:trHeight w:val="567"/>
        </w:trPr>
        <w:tc>
          <w:tcPr>
            <w:tcW w:w="174" w:type="pct"/>
          </w:tcPr>
          <w:p w14:paraId="47ABBC38" w14:textId="77777777" w:rsidR="0061594B" w:rsidRPr="00137F8C" w:rsidRDefault="0061594B" w:rsidP="0061594B">
            <w:pPr>
              <w:numPr>
                <w:ilvl w:val="0"/>
                <w:numId w:val="1"/>
              </w:numPr>
              <w:spacing w:before="20"/>
              <w:rPr>
                <w:b/>
                <w:sz w:val="22"/>
                <w:szCs w:val="22"/>
              </w:rPr>
            </w:pPr>
          </w:p>
        </w:tc>
        <w:tc>
          <w:tcPr>
            <w:tcW w:w="633" w:type="pct"/>
          </w:tcPr>
          <w:p w14:paraId="22608E3B" w14:textId="77777777" w:rsidR="0061594B" w:rsidRPr="00137F8C" w:rsidRDefault="0061594B" w:rsidP="0061594B">
            <w:pPr>
              <w:spacing w:before="20"/>
              <w:rPr>
                <w:sz w:val="22"/>
                <w:szCs w:val="22"/>
              </w:rPr>
            </w:pPr>
            <w:r w:rsidRPr="00137F8C">
              <w:rPr>
                <w:sz w:val="22"/>
                <w:szCs w:val="22"/>
              </w:rPr>
              <w:t>b</w:t>
            </w:r>
          </w:p>
        </w:tc>
        <w:tc>
          <w:tcPr>
            <w:tcW w:w="557" w:type="pct"/>
          </w:tcPr>
          <w:p w14:paraId="6D3D37C3" w14:textId="77777777" w:rsidR="0061594B" w:rsidRPr="00137F8C" w:rsidRDefault="0061594B" w:rsidP="0061594B">
            <w:pPr>
              <w:spacing w:before="20"/>
              <w:rPr>
                <w:sz w:val="22"/>
                <w:szCs w:val="22"/>
              </w:rPr>
            </w:pPr>
            <w:r w:rsidRPr="00137F8C">
              <w:rPr>
                <w:sz w:val="22"/>
                <w:szCs w:val="22"/>
              </w:rPr>
              <w:t>6.4. str.20</w:t>
            </w:r>
          </w:p>
        </w:tc>
        <w:tc>
          <w:tcPr>
            <w:tcW w:w="1285" w:type="pct"/>
          </w:tcPr>
          <w:p w14:paraId="609114DF" w14:textId="77777777" w:rsidR="0061594B" w:rsidRDefault="0061594B" w:rsidP="0061594B">
            <w:pPr>
              <w:spacing w:before="20"/>
              <w:rPr>
                <w:color w:val="000000"/>
                <w:sz w:val="23"/>
                <w:szCs w:val="23"/>
              </w:rPr>
            </w:pPr>
            <w:r>
              <w:rPr>
                <w:color w:val="000000"/>
                <w:sz w:val="23"/>
                <w:szCs w:val="23"/>
              </w:rPr>
              <w:t>Garanti základních teoretických studijních předmětů profilujícího základu se musejí významně (tzn. alespoň z 50 %) podílet na výuce předmětů, které garantují – vedením garantují – a to vedením přednášek nebo jiné formy výuky, pokud tyto předměty nemají přednášky.</w:t>
            </w:r>
          </w:p>
          <w:p w14:paraId="38DA918B" w14:textId="77777777" w:rsidR="0061594B" w:rsidRDefault="0061594B" w:rsidP="0061594B">
            <w:pPr>
              <w:spacing w:before="20"/>
              <w:rPr>
                <w:b/>
                <w:bCs/>
                <w:color w:val="000000"/>
                <w:sz w:val="23"/>
                <w:szCs w:val="23"/>
              </w:rPr>
            </w:pPr>
          </w:p>
          <w:p w14:paraId="340E55DE" w14:textId="77777777" w:rsidR="0061594B" w:rsidRDefault="0061594B" w:rsidP="0061594B">
            <w:pPr>
              <w:spacing w:before="20"/>
              <w:rPr>
                <w:color w:val="000000"/>
                <w:sz w:val="23"/>
                <w:szCs w:val="23"/>
              </w:rPr>
            </w:pPr>
            <w:r>
              <w:rPr>
                <w:b/>
                <w:bCs/>
                <w:color w:val="000000"/>
                <w:sz w:val="23"/>
                <w:szCs w:val="23"/>
              </w:rPr>
              <w:lastRenderedPageBreak/>
              <w:t xml:space="preserve">Vypustit navrhované zpřesnění (tzn. alespoň </w:t>
            </w:r>
            <w:proofErr w:type="gramStart"/>
            <w:r>
              <w:rPr>
                <w:b/>
                <w:bCs/>
                <w:color w:val="000000"/>
                <w:sz w:val="23"/>
                <w:szCs w:val="23"/>
              </w:rPr>
              <w:t>50%</w:t>
            </w:r>
            <w:proofErr w:type="gramEnd"/>
            <w:r>
              <w:rPr>
                <w:b/>
                <w:bCs/>
                <w:color w:val="000000"/>
                <w:sz w:val="23"/>
                <w:szCs w:val="23"/>
              </w:rPr>
              <w:t>) a ponechat stávající znění</w:t>
            </w:r>
            <w:r>
              <w:rPr>
                <w:color w:val="000000"/>
                <w:sz w:val="23"/>
                <w:szCs w:val="23"/>
              </w:rPr>
              <w:t xml:space="preserve">. </w:t>
            </w:r>
          </w:p>
        </w:tc>
        <w:tc>
          <w:tcPr>
            <w:tcW w:w="1702" w:type="pct"/>
          </w:tcPr>
          <w:p w14:paraId="2500ED5B" w14:textId="77777777" w:rsidR="0061594B" w:rsidRPr="00137F8C" w:rsidRDefault="0061594B" w:rsidP="0061594B">
            <w:pPr>
              <w:spacing w:before="20"/>
              <w:rPr>
                <w:bCs/>
                <w:sz w:val="22"/>
                <w:szCs w:val="22"/>
              </w:rPr>
            </w:pPr>
            <w:r w:rsidRPr="00137F8C">
              <w:rPr>
                <w:bCs/>
                <w:sz w:val="22"/>
                <w:szCs w:val="22"/>
              </w:rPr>
              <w:lastRenderedPageBreak/>
              <w:t>Současná praxe, kdy se v rámci personálního zabezpečení VŠ odůvodní reálné zajištění výuky i významný podíl garanta na ní, je naprosto dostačující. Za podíl garanta na výuce by se mělo počítat i metodické vedení dalších kolegů, kteří se na výuce podílejí. Není často možné tento podíl zajistit bez porušování zákoníku práce a max. týdenní pracovní doby.</w:t>
            </w:r>
          </w:p>
        </w:tc>
        <w:tc>
          <w:tcPr>
            <w:tcW w:w="649" w:type="pct"/>
          </w:tcPr>
          <w:p w14:paraId="0C750A45" w14:textId="77777777" w:rsidR="003521E2" w:rsidRDefault="003521E2" w:rsidP="003521E2">
            <w:pPr>
              <w:spacing w:before="20"/>
              <w:rPr>
                <w:sz w:val="22"/>
                <w:szCs w:val="22"/>
              </w:rPr>
            </w:pPr>
            <w:r w:rsidRPr="00525F22">
              <w:rPr>
                <w:b/>
                <w:bCs/>
                <w:sz w:val="22"/>
                <w:szCs w:val="22"/>
              </w:rPr>
              <w:t>Akceptováno</w:t>
            </w:r>
            <w:r>
              <w:rPr>
                <w:sz w:val="22"/>
                <w:szCs w:val="22"/>
              </w:rPr>
              <w:t>.</w:t>
            </w:r>
          </w:p>
          <w:p w14:paraId="2F9E8F61" w14:textId="0117C25A" w:rsidR="0061594B" w:rsidRPr="00137F8C" w:rsidRDefault="6A3C73AA" w:rsidP="003521E2">
            <w:pPr>
              <w:spacing w:before="20"/>
              <w:rPr>
                <w:sz w:val="22"/>
                <w:szCs w:val="22"/>
              </w:rPr>
            </w:pPr>
            <w:r w:rsidRPr="00F85FF9">
              <w:rPr>
                <w:sz w:val="22"/>
                <w:szCs w:val="22"/>
              </w:rPr>
              <w:t>Nová textace bude z metodických materiálů vypuštěna</w:t>
            </w:r>
            <w:r w:rsidRPr="13403F21">
              <w:rPr>
                <w:sz w:val="22"/>
                <w:szCs w:val="22"/>
              </w:rPr>
              <w:t>.</w:t>
            </w:r>
          </w:p>
        </w:tc>
      </w:tr>
      <w:tr w:rsidR="0061594B" w:rsidRPr="00137F8C" w14:paraId="3C847888" w14:textId="77777777" w:rsidTr="13403F21">
        <w:trPr>
          <w:trHeight w:val="567"/>
        </w:trPr>
        <w:tc>
          <w:tcPr>
            <w:tcW w:w="174" w:type="pct"/>
          </w:tcPr>
          <w:p w14:paraId="28AF0FF9" w14:textId="77777777" w:rsidR="0061594B" w:rsidRPr="00137F8C" w:rsidRDefault="0061594B" w:rsidP="0061594B">
            <w:pPr>
              <w:numPr>
                <w:ilvl w:val="0"/>
                <w:numId w:val="1"/>
              </w:numPr>
              <w:spacing w:before="20"/>
              <w:rPr>
                <w:b/>
                <w:sz w:val="22"/>
                <w:szCs w:val="22"/>
              </w:rPr>
            </w:pPr>
          </w:p>
        </w:tc>
        <w:tc>
          <w:tcPr>
            <w:tcW w:w="633" w:type="pct"/>
          </w:tcPr>
          <w:p w14:paraId="5F04979A" w14:textId="77777777" w:rsidR="0061594B" w:rsidRPr="00137F8C" w:rsidRDefault="0061594B" w:rsidP="0061594B">
            <w:pPr>
              <w:spacing w:before="20"/>
              <w:rPr>
                <w:sz w:val="22"/>
                <w:szCs w:val="22"/>
              </w:rPr>
            </w:pPr>
            <w:r w:rsidRPr="00137F8C">
              <w:rPr>
                <w:sz w:val="22"/>
                <w:szCs w:val="22"/>
              </w:rPr>
              <w:t>a</w:t>
            </w:r>
          </w:p>
        </w:tc>
        <w:tc>
          <w:tcPr>
            <w:tcW w:w="557" w:type="pct"/>
          </w:tcPr>
          <w:p w14:paraId="4E38C81C" w14:textId="77777777" w:rsidR="0061594B" w:rsidRPr="00137F8C" w:rsidRDefault="0061594B" w:rsidP="0061594B">
            <w:pPr>
              <w:spacing w:before="20"/>
              <w:rPr>
                <w:sz w:val="22"/>
                <w:szCs w:val="22"/>
              </w:rPr>
            </w:pPr>
            <w:r w:rsidRPr="00137F8C">
              <w:rPr>
                <w:sz w:val="22"/>
                <w:szCs w:val="22"/>
              </w:rPr>
              <w:t>B-</w:t>
            </w:r>
            <w:proofErr w:type="spellStart"/>
            <w:r w:rsidRPr="00137F8C">
              <w:rPr>
                <w:sz w:val="22"/>
                <w:szCs w:val="22"/>
              </w:rPr>
              <w:t>IIa</w:t>
            </w:r>
            <w:proofErr w:type="spellEnd"/>
            <w:r w:rsidRPr="00137F8C">
              <w:rPr>
                <w:sz w:val="22"/>
                <w:szCs w:val="22"/>
              </w:rPr>
              <w:t xml:space="preserve"> str. 7</w:t>
            </w:r>
          </w:p>
        </w:tc>
        <w:tc>
          <w:tcPr>
            <w:tcW w:w="1285" w:type="pct"/>
          </w:tcPr>
          <w:p w14:paraId="7361B9DA" w14:textId="77777777" w:rsidR="0061594B" w:rsidRPr="00137F8C" w:rsidRDefault="0061594B" w:rsidP="0061594B">
            <w:pPr>
              <w:autoSpaceDE w:val="0"/>
              <w:autoSpaceDN w:val="0"/>
              <w:adjustRightInd w:val="0"/>
              <w:rPr>
                <w:color w:val="000000"/>
                <w:sz w:val="23"/>
                <w:szCs w:val="23"/>
              </w:rPr>
            </w:pPr>
            <w:r w:rsidRPr="00137F8C">
              <w:rPr>
                <w:color w:val="000000"/>
                <w:sz w:val="23"/>
                <w:szCs w:val="23"/>
              </w:rPr>
              <w:t xml:space="preserve">Vyučující </w:t>
            </w:r>
          </w:p>
          <w:p w14:paraId="0723DEAE" w14:textId="77777777" w:rsidR="0061594B" w:rsidRPr="00137F8C" w:rsidRDefault="0061594B" w:rsidP="0061594B">
            <w:pPr>
              <w:spacing w:before="20"/>
              <w:rPr>
                <w:color w:val="000000"/>
                <w:sz w:val="23"/>
                <w:szCs w:val="23"/>
              </w:rPr>
            </w:pPr>
            <w:r w:rsidRPr="00137F8C">
              <w:rPr>
                <w:color w:val="000000"/>
                <w:sz w:val="23"/>
                <w:szCs w:val="23"/>
              </w:rPr>
              <w:t xml:space="preserve">Uvádí se akademický titul, jméno a příjmení vyučujících daného předmětu. U studijních </w:t>
            </w:r>
            <w:r w:rsidRPr="00137F8C">
              <w:rPr>
                <w:sz w:val="23"/>
                <w:szCs w:val="23"/>
              </w:rPr>
              <w:t>předmětů</w:t>
            </w:r>
            <w:r w:rsidRPr="00137F8C">
              <w:rPr>
                <w:color w:val="2D96D2"/>
                <w:sz w:val="23"/>
                <w:szCs w:val="23"/>
              </w:rPr>
              <w:t xml:space="preserve"> </w:t>
            </w:r>
            <w:r w:rsidRPr="00137F8C">
              <w:rPr>
                <w:color w:val="000000"/>
                <w:sz w:val="23"/>
                <w:szCs w:val="23"/>
              </w:rPr>
              <w:t>z oblasti vzdělávání Umění se nemusí uvádět podíl jednotlivých vyučujících na výuce.</w:t>
            </w:r>
          </w:p>
          <w:p w14:paraId="06225DB4" w14:textId="77777777" w:rsidR="0061594B" w:rsidRPr="00137F8C" w:rsidRDefault="0061594B" w:rsidP="0061594B">
            <w:pPr>
              <w:spacing w:before="20"/>
              <w:rPr>
                <w:color w:val="000000"/>
                <w:sz w:val="23"/>
                <w:szCs w:val="23"/>
              </w:rPr>
            </w:pPr>
          </w:p>
          <w:p w14:paraId="6F718779" w14:textId="77777777" w:rsidR="0061594B" w:rsidRDefault="0061594B" w:rsidP="0061594B">
            <w:pPr>
              <w:spacing w:before="20"/>
              <w:rPr>
                <w:b/>
                <w:bCs/>
                <w:color w:val="000000"/>
                <w:sz w:val="23"/>
                <w:szCs w:val="23"/>
              </w:rPr>
            </w:pPr>
            <w:r w:rsidRPr="00137F8C">
              <w:rPr>
                <w:b/>
                <w:color w:val="000000"/>
                <w:sz w:val="23"/>
                <w:szCs w:val="23"/>
              </w:rPr>
              <w:t xml:space="preserve">Ponechat dosavadní </w:t>
            </w:r>
            <w:proofErr w:type="spellStart"/>
            <w:r w:rsidRPr="00137F8C">
              <w:rPr>
                <w:b/>
                <w:color w:val="000000"/>
                <w:sz w:val="23"/>
                <w:szCs w:val="23"/>
              </w:rPr>
              <w:t>znění:“U</w:t>
            </w:r>
            <w:proofErr w:type="spellEnd"/>
            <w:r w:rsidRPr="00137F8C">
              <w:rPr>
                <w:b/>
                <w:color w:val="000000"/>
                <w:sz w:val="23"/>
                <w:szCs w:val="23"/>
              </w:rPr>
              <w:t xml:space="preserve"> studijních programů z oblasti</w:t>
            </w:r>
            <w:proofErr w:type="gramStart"/>
            <w:r w:rsidRPr="00137F8C">
              <w:rPr>
                <w:b/>
                <w:color w:val="000000"/>
                <w:sz w:val="23"/>
                <w:szCs w:val="23"/>
              </w:rPr>
              <w:t>…….</w:t>
            </w:r>
            <w:proofErr w:type="gramEnd"/>
            <w:r w:rsidRPr="00137F8C">
              <w:rPr>
                <w:b/>
                <w:color w:val="000000"/>
                <w:sz w:val="23"/>
                <w:szCs w:val="23"/>
              </w:rPr>
              <w:t>“</w:t>
            </w:r>
          </w:p>
        </w:tc>
        <w:tc>
          <w:tcPr>
            <w:tcW w:w="1702" w:type="pct"/>
          </w:tcPr>
          <w:p w14:paraId="716718ED" w14:textId="77777777" w:rsidR="0061594B" w:rsidRPr="00137F8C" w:rsidRDefault="0061594B" w:rsidP="0061594B">
            <w:pPr>
              <w:spacing w:before="20"/>
              <w:rPr>
                <w:bCs/>
                <w:sz w:val="22"/>
                <w:szCs w:val="22"/>
              </w:rPr>
            </w:pPr>
            <w:r w:rsidRPr="00137F8C">
              <w:rPr>
                <w:bCs/>
                <w:sz w:val="22"/>
                <w:szCs w:val="22"/>
              </w:rPr>
              <w:t xml:space="preserve">Znamená to, že bude potřeba vyhodnocovat zařazení každého předmětu do určité oblasti vzdělávání? </w:t>
            </w:r>
          </w:p>
        </w:tc>
        <w:tc>
          <w:tcPr>
            <w:tcW w:w="649" w:type="pct"/>
          </w:tcPr>
          <w:p w14:paraId="1B343290" w14:textId="261228CF" w:rsidR="0061594B" w:rsidRPr="00137F8C" w:rsidRDefault="002F43AC" w:rsidP="0061594B">
            <w:pPr>
              <w:spacing w:before="20"/>
              <w:rPr>
                <w:sz w:val="22"/>
                <w:szCs w:val="22"/>
              </w:rPr>
            </w:pPr>
            <w:r w:rsidRPr="34F5C39D">
              <w:rPr>
                <w:b/>
                <w:bCs/>
                <w:sz w:val="22"/>
                <w:szCs w:val="22"/>
              </w:rPr>
              <w:t>Akceptováno částečně</w:t>
            </w:r>
            <w:r w:rsidRPr="34F5C39D">
              <w:rPr>
                <w:sz w:val="22"/>
                <w:szCs w:val="22"/>
              </w:rPr>
              <w:t>. Formulace bude upravena na “</w:t>
            </w:r>
            <w:r w:rsidRPr="00F85FF9">
              <w:rPr>
                <w:sz w:val="22"/>
                <w:szCs w:val="22"/>
              </w:rPr>
              <w:t>U studijních programů zařazených výhradně do oblasti vzdělávání Umění a u ostatních studijních programů u předmětů uměleckého charakteru...” Nejde</w:t>
            </w:r>
            <w:r w:rsidRPr="34F5C39D">
              <w:rPr>
                <w:sz w:val="22"/>
                <w:szCs w:val="22"/>
              </w:rPr>
              <w:t xml:space="preserve"> o zařazování studijních předmětů do oblastí vzdělávání, pouze o vyhodnocení jeho charakteru.</w:t>
            </w:r>
          </w:p>
        </w:tc>
      </w:tr>
      <w:tr w:rsidR="0061594B" w:rsidRPr="00137F8C" w14:paraId="526DA40E" w14:textId="77777777" w:rsidTr="13403F21">
        <w:trPr>
          <w:trHeight w:val="567"/>
        </w:trPr>
        <w:tc>
          <w:tcPr>
            <w:tcW w:w="174" w:type="pct"/>
          </w:tcPr>
          <w:p w14:paraId="4110D86A" w14:textId="77777777" w:rsidR="0061594B" w:rsidRPr="00137F8C" w:rsidRDefault="0061594B" w:rsidP="0061594B">
            <w:pPr>
              <w:numPr>
                <w:ilvl w:val="0"/>
                <w:numId w:val="1"/>
              </w:numPr>
              <w:spacing w:before="20"/>
              <w:rPr>
                <w:b/>
                <w:sz w:val="22"/>
                <w:szCs w:val="22"/>
              </w:rPr>
            </w:pPr>
          </w:p>
        </w:tc>
        <w:tc>
          <w:tcPr>
            <w:tcW w:w="633" w:type="pct"/>
          </w:tcPr>
          <w:p w14:paraId="3E4B40A3" w14:textId="77777777" w:rsidR="0061594B" w:rsidRPr="00137F8C" w:rsidRDefault="0061594B" w:rsidP="0061594B">
            <w:pPr>
              <w:spacing w:before="20"/>
              <w:rPr>
                <w:sz w:val="22"/>
                <w:szCs w:val="22"/>
              </w:rPr>
            </w:pPr>
            <w:r w:rsidRPr="00137F8C">
              <w:rPr>
                <w:sz w:val="22"/>
                <w:szCs w:val="22"/>
              </w:rPr>
              <w:t xml:space="preserve">Obecná </w:t>
            </w:r>
          </w:p>
        </w:tc>
        <w:tc>
          <w:tcPr>
            <w:tcW w:w="557" w:type="pct"/>
          </w:tcPr>
          <w:p w14:paraId="67FB76CB" w14:textId="77777777" w:rsidR="0061594B" w:rsidRPr="00137F8C" w:rsidRDefault="0061594B" w:rsidP="0061594B">
            <w:pPr>
              <w:spacing w:before="20"/>
              <w:rPr>
                <w:sz w:val="22"/>
                <w:szCs w:val="22"/>
              </w:rPr>
            </w:pPr>
          </w:p>
        </w:tc>
        <w:tc>
          <w:tcPr>
            <w:tcW w:w="1285" w:type="pct"/>
          </w:tcPr>
          <w:p w14:paraId="350931D3" w14:textId="77777777" w:rsidR="0061594B" w:rsidRPr="00137F8C" w:rsidRDefault="0061594B" w:rsidP="0061594B">
            <w:pPr>
              <w:spacing w:before="20"/>
              <w:rPr>
                <w:sz w:val="22"/>
                <w:szCs w:val="22"/>
              </w:rPr>
            </w:pPr>
            <w:r w:rsidRPr="00137F8C">
              <w:rPr>
                <w:sz w:val="22"/>
                <w:szCs w:val="22"/>
              </w:rPr>
              <w:t xml:space="preserve">K připomínkám byla v současné době předložena novela ZVŠ a standardů doktorského studia. Není jasná vazba úpravy metodiky hodnocení před ukončením těchto zásadních legislativních prací. </w:t>
            </w:r>
          </w:p>
        </w:tc>
        <w:tc>
          <w:tcPr>
            <w:tcW w:w="1702" w:type="pct"/>
          </w:tcPr>
          <w:p w14:paraId="3CC92A98" w14:textId="77777777" w:rsidR="0061594B" w:rsidRPr="00137F8C" w:rsidRDefault="0061594B" w:rsidP="0061594B">
            <w:pPr>
              <w:spacing w:before="20"/>
              <w:rPr>
                <w:bCs/>
                <w:sz w:val="22"/>
                <w:szCs w:val="22"/>
              </w:rPr>
            </w:pPr>
            <w:r w:rsidRPr="00137F8C">
              <w:rPr>
                <w:bCs/>
                <w:sz w:val="22"/>
                <w:szCs w:val="22"/>
              </w:rPr>
              <w:t xml:space="preserve">Není ani jasné, od kdy má být předložená úprava metodických materiálů NAU účinná. </w:t>
            </w:r>
          </w:p>
        </w:tc>
        <w:tc>
          <w:tcPr>
            <w:tcW w:w="649" w:type="pct"/>
          </w:tcPr>
          <w:p w14:paraId="6F59E592" w14:textId="77777777" w:rsidR="00DA40ED" w:rsidRPr="00305623" w:rsidRDefault="00DA40ED" w:rsidP="00DA40ED">
            <w:pPr>
              <w:spacing w:before="20"/>
              <w:rPr>
                <w:sz w:val="22"/>
                <w:szCs w:val="22"/>
              </w:rPr>
            </w:pPr>
            <w:r w:rsidRPr="34F5C39D">
              <w:rPr>
                <w:b/>
                <w:bCs/>
                <w:sz w:val="22"/>
                <w:szCs w:val="22"/>
              </w:rPr>
              <w:t>Vysvětleno.</w:t>
            </w:r>
            <w:r w:rsidRPr="34F5C39D">
              <w:rPr>
                <w:sz w:val="22"/>
                <w:szCs w:val="22"/>
              </w:rPr>
              <w:t xml:space="preserve"> Z hlediska účinnosti upravených metodických materiálů bude stanoveno přechodné období. Nové podmínky se budou vztahovat na žádosti o akreditaci předložené po </w:t>
            </w:r>
            <w:r w:rsidRPr="34F5C39D">
              <w:rPr>
                <w:sz w:val="22"/>
                <w:szCs w:val="22"/>
              </w:rPr>
              <w:lastRenderedPageBreak/>
              <w:t>určitém datu.</w:t>
            </w:r>
          </w:p>
          <w:p w14:paraId="0C73D2E0" w14:textId="5DF00B1F" w:rsidR="0061594B" w:rsidRPr="00137F8C" w:rsidRDefault="2EC3BD1E" w:rsidP="00DA40ED">
            <w:pPr>
              <w:spacing w:before="20"/>
              <w:rPr>
                <w:sz w:val="22"/>
                <w:szCs w:val="22"/>
              </w:rPr>
            </w:pPr>
            <w:r w:rsidRPr="13403F21">
              <w:rPr>
                <w:sz w:val="22"/>
                <w:szCs w:val="22"/>
              </w:rPr>
              <w:t xml:space="preserve">V případě přijetí novely ZVŠ obsahující taková ustanovení, která budou mít dopad do metodických materiálů NAÚ, budou do těchto materiálů promítnuta po </w:t>
            </w:r>
            <w:r w:rsidR="5E1458E0" w:rsidRPr="13403F21">
              <w:rPr>
                <w:sz w:val="22"/>
                <w:szCs w:val="22"/>
              </w:rPr>
              <w:t>nabytí účinnosti</w:t>
            </w:r>
            <w:r w:rsidRPr="13403F21">
              <w:rPr>
                <w:sz w:val="22"/>
                <w:szCs w:val="22"/>
              </w:rPr>
              <w:t xml:space="preserve"> nové legislativní úpravy.</w:t>
            </w:r>
          </w:p>
        </w:tc>
      </w:tr>
      <w:tr w:rsidR="0061594B" w:rsidRPr="00137F8C" w14:paraId="33F59450" w14:textId="77777777" w:rsidTr="13403F21">
        <w:trPr>
          <w:trHeight w:val="567"/>
        </w:trPr>
        <w:tc>
          <w:tcPr>
            <w:tcW w:w="174" w:type="pct"/>
          </w:tcPr>
          <w:p w14:paraId="533B8E44" w14:textId="77777777" w:rsidR="0061594B" w:rsidRPr="00137F8C" w:rsidRDefault="0061594B" w:rsidP="0061594B">
            <w:pPr>
              <w:numPr>
                <w:ilvl w:val="0"/>
                <w:numId w:val="1"/>
              </w:numPr>
              <w:spacing w:before="20"/>
              <w:rPr>
                <w:b/>
                <w:sz w:val="22"/>
                <w:szCs w:val="22"/>
              </w:rPr>
            </w:pPr>
          </w:p>
        </w:tc>
        <w:tc>
          <w:tcPr>
            <w:tcW w:w="633" w:type="pct"/>
          </w:tcPr>
          <w:p w14:paraId="2ECDB719" w14:textId="77777777" w:rsidR="0061594B" w:rsidRPr="00137F8C" w:rsidRDefault="0061594B" w:rsidP="0061594B">
            <w:pPr>
              <w:spacing w:before="20"/>
              <w:rPr>
                <w:bCs/>
                <w:iCs/>
                <w:sz w:val="22"/>
                <w:szCs w:val="22"/>
              </w:rPr>
            </w:pPr>
            <w:r w:rsidRPr="00137F8C">
              <w:rPr>
                <w:bCs/>
                <w:iCs/>
                <w:sz w:val="22"/>
                <w:szCs w:val="22"/>
              </w:rPr>
              <w:t>a A-D</w:t>
            </w:r>
          </w:p>
        </w:tc>
        <w:tc>
          <w:tcPr>
            <w:tcW w:w="557" w:type="pct"/>
          </w:tcPr>
          <w:p w14:paraId="24F5FF3E" w14:textId="77777777" w:rsidR="0061594B" w:rsidRPr="00137F8C" w:rsidRDefault="0061594B" w:rsidP="0061594B">
            <w:pPr>
              <w:spacing w:before="20"/>
              <w:rPr>
                <w:bCs/>
                <w:iCs/>
                <w:sz w:val="22"/>
                <w:szCs w:val="22"/>
              </w:rPr>
            </w:pPr>
            <w:r w:rsidRPr="00137F8C">
              <w:rPr>
                <w:bCs/>
                <w:iCs/>
                <w:sz w:val="22"/>
                <w:szCs w:val="22"/>
              </w:rPr>
              <w:t>8</w:t>
            </w:r>
          </w:p>
        </w:tc>
        <w:tc>
          <w:tcPr>
            <w:tcW w:w="1285" w:type="pct"/>
          </w:tcPr>
          <w:p w14:paraId="0C4DBA1B" w14:textId="77777777" w:rsidR="0061594B" w:rsidRPr="00137F8C" w:rsidRDefault="0061594B" w:rsidP="0061594B">
            <w:pPr>
              <w:spacing w:before="20"/>
              <w:rPr>
                <w:bCs/>
                <w:iCs/>
                <w:sz w:val="22"/>
                <w:szCs w:val="22"/>
              </w:rPr>
            </w:pPr>
            <w:r w:rsidRPr="00137F8C">
              <w:rPr>
                <w:bCs/>
                <w:iCs/>
                <w:sz w:val="22"/>
                <w:szCs w:val="22"/>
              </w:rPr>
              <w:t>V textu je napsáno: „…které odpovídají, souvisejí nebo podmiňují znalosti nebo dovednosti ze základních tematických okruhů ověřované státní zkouškou…“ To je špatně česky. Správně má být: „…které odpovídají znalostem nebo dovednostem ze základních tematických okruhů ověřovaných státní zkouškou, souvisejí s nimi nebo je podmiňují…“</w:t>
            </w:r>
          </w:p>
          <w:p w14:paraId="1CE9435A" w14:textId="77777777" w:rsidR="0061594B" w:rsidRPr="00137F8C" w:rsidRDefault="650A3E61" w:rsidP="13403F21">
            <w:pPr>
              <w:spacing w:before="20"/>
              <w:rPr>
                <w:sz w:val="22"/>
                <w:szCs w:val="22"/>
              </w:rPr>
            </w:pPr>
            <w:r w:rsidRPr="13403F21">
              <w:rPr>
                <w:sz w:val="22"/>
                <w:szCs w:val="22"/>
              </w:rPr>
              <w:t>(</w:t>
            </w:r>
            <w:r w:rsidRPr="00F85FF9">
              <w:rPr>
                <w:sz w:val="22"/>
                <w:szCs w:val="22"/>
              </w:rPr>
              <w:t>Obdobně o odstavec níže.)</w:t>
            </w:r>
          </w:p>
        </w:tc>
        <w:tc>
          <w:tcPr>
            <w:tcW w:w="1702" w:type="pct"/>
          </w:tcPr>
          <w:p w14:paraId="3BC9873F" w14:textId="77777777" w:rsidR="0061594B" w:rsidRPr="00137F8C" w:rsidRDefault="0061594B" w:rsidP="0061594B">
            <w:pPr>
              <w:spacing w:before="20"/>
              <w:rPr>
                <w:sz w:val="22"/>
                <w:szCs w:val="22"/>
              </w:rPr>
            </w:pPr>
            <w:r w:rsidRPr="00137F8C">
              <w:rPr>
                <w:sz w:val="22"/>
                <w:szCs w:val="22"/>
              </w:rPr>
              <w:t>V češtině musí odpovídat tvar slova v předmětu příslušnému slovesu. Nelze kombinovat tři slovesa, kde každé vyžaduje jiný pád, a předmět nechat jen v jednom pádě.</w:t>
            </w:r>
          </w:p>
        </w:tc>
        <w:tc>
          <w:tcPr>
            <w:tcW w:w="649" w:type="pct"/>
          </w:tcPr>
          <w:p w14:paraId="3D565487" w14:textId="394C9569" w:rsidR="0061594B" w:rsidRPr="007C3E9A" w:rsidRDefault="13403F21" w:rsidP="13403F21">
            <w:pPr>
              <w:spacing w:before="20"/>
              <w:rPr>
                <w:sz w:val="22"/>
                <w:szCs w:val="22"/>
                <w:highlight w:val="green"/>
              </w:rPr>
            </w:pPr>
            <w:r w:rsidRPr="00F85FF9">
              <w:rPr>
                <w:b/>
                <w:bCs/>
                <w:sz w:val="22"/>
                <w:szCs w:val="22"/>
              </w:rPr>
              <w:t xml:space="preserve">Akceptováno. </w:t>
            </w:r>
            <w:r w:rsidRPr="00F85FF9">
              <w:rPr>
                <w:sz w:val="22"/>
                <w:szCs w:val="22"/>
              </w:rPr>
              <w:t>Bude upraveno.</w:t>
            </w:r>
          </w:p>
        </w:tc>
      </w:tr>
      <w:tr w:rsidR="0061594B" w:rsidRPr="00137F8C" w14:paraId="61A951E5" w14:textId="77777777" w:rsidTr="13403F21">
        <w:trPr>
          <w:trHeight w:val="567"/>
        </w:trPr>
        <w:tc>
          <w:tcPr>
            <w:tcW w:w="174" w:type="pct"/>
          </w:tcPr>
          <w:p w14:paraId="6F478FA9" w14:textId="77777777" w:rsidR="0061594B" w:rsidRPr="00137F8C" w:rsidRDefault="0061594B" w:rsidP="0061594B">
            <w:pPr>
              <w:numPr>
                <w:ilvl w:val="0"/>
                <w:numId w:val="1"/>
              </w:numPr>
              <w:spacing w:before="20"/>
              <w:rPr>
                <w:b/>
                <w:sz w:val="22"/>
                <w:szCs w:val="22"/>
              </w:rPr>
            </w:pPr>
          </w:p>
        </w:tc>
        <w:tc>
          <w:tcPr>
            <w:tcW w:w="633" w:type="pct"/>
          </w:tcPr>
          <w:p w14:paraId="275F34FE" w14:textId="77777777" w:rsidR="0061594B" w:rsidRPr="00137F8C" w:rsidRDefault="0061594B" w:rsidP="0061594B">
            <w:pPr>
              <w:spacing w:before="20"/>
              <w:rPr>
                <w:bCs/>
                <w:iCs/>
                <w:sz w:val="22"/>
                <w:szCs w:val="22"/>
              </w:rPr>
            </w:pPr>
            <w:r w:rsidRPr="00137F8C">
              <w:rPr>
                <w:bCs/>
                <w:iCs/>
                <w:sz w:val="22"/>
                <w:szCs w:val="22"/>
              </w:rPr>
              <w:t>a A-D</w:t>
            </w:r>
          </w:p>
          <w:p w14:paraId="0A80ABA6" w14:textId="77777777" w:rsidR="0061594B" w:rsidRPr="00137F8C" w:rsidRDefault="0061594B" w:rsidP="0061594B">
            <w:pPr>
              <w:spacing w:before="20"/>
              <w:rPr>
                <w:bCs/>
                <w:iCs/>
                <w:sz w:val="22"/>
                <w:szCs w:val="22"/>
              </w:rPr>
            </w:pPr>
          </w:p>
        </w:tc>
        <w:tc>
          <w:tcPr>
            <w:tcW w:w="557" w:type="pct"/>
          </w:tcPr>
          <w:p w14:paraId="0545BBB3" w14:textId="77777777" w:rsidR="0061594B" w:rsidRPr="00137F8C" w:rsidRDefault="0061594B" w:rsidP="0061594B">
            <w:pPr>
              <w:spacing w:before="20"/>
              <w:rPr>
                <w:bCs/>
                <w:iCs/>
                <w:sz w:val="22"/>
                <w:szCs w:val="22"/>
              </w:rPr>
            </w:pPr>
            <w:r w:rsidRPr="00137F8C">
              <w:rPr>
                <w:bCs/>
                <w:iCs/>
                <w:sz w:val="22"/>
                <w:szCs w:val="22"/>
              </w:rPr>
              <w:t>12</w:t>
            </w:r>
          </w:p>
          <w:p w14:paraId="5F3E84F0" w14:textId="77777777" w:rsidR="0061594B" w:rsidRPr="00137F8C" w:rsidRDefault="0061594B" w:rsidP="0061594B">
            <w:pPr>
              <w:spacing w:before="20"/>
              <w:rPr>
                <w:bCs/>
                <w:iCs/>
                <w:sz w:val="22"/>
                <w:szCs w:val="22"/>
              </w:rPr>
            </w:pPr>
            <w:r w:rsidRPr="00137F8C">
              <w:rPr>
                <w:bCs/>
                <w:iCs/>
                <w:sz w:val="22"/>
                <w:szCs w:val="22"/>
              </w:rPr>
              <w:t>(také materiál b, strana 9)</w:t>
            </w:r>
          </w:p>
        </w:tc>
        <w:tc>
          <w:tcPr>
            <w:tcW w:w="1285" w:type="pct"/>
          </w:tcPr>
          <w:p w14:paraId="7C7ECCE4" w14:textId="77777777" w:rsidR="0061594B" w:rsidRPr="00137F8C" w:rsidRDefault="0061594B" w:rsidP="0061594B">
            <w:pPr>
              <w:spacing w:before="20"/>
              <w:rPr>
                <w:sz w:val="22"/>
                <w:szCs w:val="22"/>
              </w:rPr>
            </w:pPr>
            <w:r w:rsidRPr="00137F8C">
              <w:rPr>
                <w:sz w:val="22"/>
                <w:szCs w:val="22"/>
              </w:rPr>
              <w:t xml:space="preserve">Doporučuji změnit větu na: „Počet zajištěných míst pro výkon praxe/ praktické výuky musí být takový, aby kapacitně umožnil zabezpečení praxe/ praktické výuky všech studentů </w:t>
            </w:r>
            <w:r w:rsidRPr="00137F8C">
              <w:rPr>
                <w:b/>
                <w:sz w:val="22"/>
                <w:szCs w:val="22"/>
              </w:rPr>
              <w:t xml:space="preserve">daného ročníku </w:t>
            </w:r>
            <w:r w:rsidRPr="00137F8C">
              <w:rPr>
                <w:sz w:val="22"/>
                <w:szCs w:val="22"/>
              </w:rPr>
              <w:t>zapsaných ke studiu do příslušného studijního programu.“</w:t>
            </w:r>
          </w:p>
        </w:tc>
        <w:tc>
          <w:tcPr>
            <w:tcW w:w="1702" w:type="pct"/>
          </w:tcPr>
          <w:p w14:paraId="278741A3" w14:textId="77777777" w:rsidR="0061594B" w:rsidRPr="00137F8C" w:rsidRDefault="0061594B" w:rsidP="0061594B">
            <w:pPr>
              <w:spacing w:before="20"/>
              <w:rPr>
                <w:bCs/>
                <w:sz w:val="22"/>
                <w:szCs w:val="22"/>
              </w:rPr>
            </w:pPr>
            <w:r w:rsidRPr="00137F8C">
              <w:rPr>
                <w:bCs/>
                <w:sz w:val="22"/>
                <w:szCs w:val="22"/>
              </w:rPr>
              <w:t xml:space="preserve">Pokud je v tříletém programu v každém ročníku 100 studentů, pak je logicky třeba zajistit aspoň 100 míst pro praxe (neboť studenti konají praxi jednou za studium). Znění navržené úřadem může ale svádět k domněnce, že škola musí zajistit 300 míst. Pro zamezení nedorozumění doporučujeme změnit. </w:t>
            </w:r>
          </w:p>
        </w:tc>
        <w:tc>
          <w:tcPr>
            <w:tcW w:w="649" w:type="pct"/>
          </w:tcPr>
          <w:p w14:paraId="0AEDD8F8" w14:textId="1662BE86" w:rsidR="0061594B" w:rsidRPr="00137F8C" w:rsidRDefault="240488A4" w:rsidP="0061594B">
            <w:pPr>
              <w:spacing w:before="20"/>
              <w:rPr>
                <w:sz w:val="22"/>
                <w:szCs w:val="22"/>
              </w:rPr>
            </w:pPr>
            <w:r w:rsidRPr="13403F21">
              <w:rPr>
                <w:b/>
                <w:bCs/>
                <w:sz w:val="22"/>
                <w:szCs w:val="22"/>
              </w:rPr>
              <w:t xml:space="preserve">Akceptováno částečně. </w:t>
            </w:r>
            <w:r w:rsidRPr="00F85FF9">
              <w:rPr>
                <w:sz w:val="22"/>
                <w:szCs w:val="22"/>
              </w:rPr>
              <w:t xml:space="preserve">Formulace bude v návaznosti na připomínku ČKR č. 105 upravena na „v rozsahu korespondujícím s předpokládaným počtem studentů zapsaných do 1. </w:t>
            </w:r>
            <w:r w:rsidRPr="00F85FF9">
              <w:rPr>
                <w:sz w:val="22"/>
                <w:szCs w:val="22"/>
              </w:rPr>
              <w:lastRenderedPageBreak/>
              <w:t>ročníku“.</w:t>
            </w:r>
          </w:p>
        </w:tc>
      </w:tr>
      <w:tr w:rsidR="0061594B" w:rsidRPr="00137F8C" w14:paraId="7DB6D4A6" w14:textId="77777777" w:rsidTr="13403F21">
        <w:trPr>
          <w:trHeight w:val="567"/>
        </w:trPr>
        <w:tc>
          <w:tcPr>
            <w:tcW w:w="174" w:type="pct"/>
          </w:tcPr>
          <w:p w14:paraId="37B7BA0C" w14:textId="77777777" w:rsidR="0061594B" w:rsidRPr="00137F8C" w:rsidRDefault="0061594B" w:rsidP="0061594B">
            <w:pPr>
              <w:numPr>
                <w:ilvl w:val="0"/>
                <w:numId w:val="1"/>
              </w:numPr>
              <w:spacing w:before="20"/>
              <w:rPr>
                <w:b/>
                <w:sz w:val="22"/>
                <w:szCs w:val="22"/>
              </w:rPr>
            </w:pPr>
          </w:p>
        </w:tc>
        <w:tc>
          <w:tcPr>
            <w:tcW w:w="633" w:type="pct"/>
          </w:tcPr>
          <w:p w14:paraId="1E6941DE" w14:textId="77777777" w:rsidR="0061594B" w:rsidRPr="00137F8C" w:rsidRDefault="0061594B" w:rsidP="0061594B">
            <w:pPr>
              <w:spacing w:before="20"/>
              <w:rPr>
                <w:bCs/>
                <w:iCs/>
                <w:sz w:val="22"/>
                <w:szCs w:val="22"/>
              </w:rPr>
            </w:pPr>
            <w:r w:rsidRPr="00137F8C">
              <w:rPr>
                <w:bCs/>
                <w:iCs/>
                <w:sz w:val="22"/>
                <w:szCs w:val="22"/>
              </w:rPr>
              <w:t>a A-D</w:t>
            </w:r>
          </w:p>
        </w:tc>
        <w:tc>
          <w:tcPr>
            <w:tcW w:w="557" w:type="pct"/>
          </w:tcPr>
          <w:p w14:paraId="47109D84" w14:textId="77777777" w:rsidR="0061594B" w:rsidRPr="00137F8C" w:rsidRDefault="0061594B" w:rsidP="0061594B">
            <w:pPr>
              <w:spacing w:before="20"/>
              <w:rPr>
                <w:bCs/>
                <w:iCs/>
                <w:sz w:val="22"/>
                <w:szCs w:val="22"/>
              </w:rPr>
            </w:pPr>
            <w:r w:rsidRPr="00137F8C">
              <w:rPr>
                <w:bCs/>
                <w:iCs/>
                <w:sz w:val="22"/>
                <w:szCs w:val="22"/>
              </w:rPr>
              <w:t>15</w:t>
            </w:r>
          </w:p>
        </w:tc>
        <w:tc>
          <w:tcPr>
            <w:tcW w:w="1285" w:type="pct"/>
          </w:tcPr>
          <w:p w14:paraId="6377AFCF" w14:textId="77777777" w:rsidR="0061594B" w:rsidRPr="00137F8C" w:rsidRDefault="0061594B" w:rsidP="0061594B">
            <w:pPr>
              <w:spacing w:before="20"/>
              <w:rPr>
                <w:sz w:val="22"/>
                <w:szCs w:val="22"/>
              </w:rPr>
            </w:pPr>
            <w:r w:rsidRPr="00137F8C">
              <w:rPr>
                <w:sz w:val="22"/>
                <w:szCs w:val="22"/>
              </w:rPr>
              <w:t>Doporučujeme buď nevkládat novou evidenci toho, jak se akademičtí pracovníci podílejí na jiných programech, anebo přehodnotit požadavek na významné zapojení garanta do výuky studijního předmětu.</w:t>
            </w:r>
          </w:p>
        </w:tc>
        <w:tc>
          <w:tcPr>
            <w:tcW w:w="1702" w:type="pct"/>
          </w:tcPr>
          <w:p w14:paraId="01A096C2" w14:textId="77777777" w:rsidR="0061594B" w:rsidRPr="00137F8C" w:rsidRDefault="0061594B" w:rsidP="0061594B">
            <w:pPr>
              <w:spacing w:before="20"/>
              <w:rPr>
                <w:bCs/>
                <w:sz w:val="20"/>
                <w:szCs w:val="20"/>
              </w:rPr>
            </w:pPr>
            <w:r w:rsidRPr="00137F8C">
              <w:rPr>
                <w:bCs/>
                <w:sz w:val="20"/>
                <w:szCs w:val="20"/>
              </w:rPr>
              <w:t xml:space="preserve">Úřad v některých případech trvá na tom, že významné zapojení garanta studijního předmětu do výuky znamená, že garant </w:t>
            </w:r>
            <w:proofErr w:type="gramStart"/>
            <w:r w:rsidRPr="00137F8C">
              <w:rPr>
                <w:bCs/>
                <w:sz w:val="20"/>
                <w:szCs w:val="20"/>
              </w:rPr>
              <w:t>učí</w:t>
            </w:r>
            <w:proofErr w:type="gramEnd"/>
            <w:r w:rsidRPr="00137F8C">
              <w:rPr>
                <w:bCs/>
                <w:sz w:val="20"/>
                <w:szCs w:val="20"/>
              </w:rPr>
              <w:t xml:space="preserve"> většinu studentů dané kohorty. To je v některých případech likvidační požadavek. Lze si to představit tam, kde jsou velké přednášky. Ale v programech, kde jsou studenti schválně rozděleni do malých studijních skupin, </w:t>
            </w:r>
            <w:proofErr w:type="gramStart"/>
            <w:r w:rsidRPr="00137F8C">
              <w:rPr>
                <w:bCs/>
                <w:sz w:val="20"/>
                <w:szCs w:val="20"/>
              </w:rPr>
              <w:t>učí</w:t>
            </w:r>
            <w:proofErr w:type="gramEnd"/>
            <w:r w:rsidRPr="00137F8C">
              <w:rPr>
                <w:bCs/>
                <w:sz w:val="20"/>
                <w:szCs w:val="20"/>
              </w:rPr>
              <w:t xml:space="preserve"> garant třeba jen jednu paralelku, ale přitom metodicky vede a koordinuje další vyučující. Pokud bude úřad toto uznávat jako dostatečné zapojení garanta do výuky, pak je to ok.</w:t>
            </w:r>
          </w:p>
          <w:p w14:paraId="08C43BF0" w14:textId="77777777" w:rsidR="0061594B" w:rsidRPr="00137F8C" w:rsidRDefault="0061594B" w:rsidP="0061594B">
            <w:pPr>
              <w:spacing w:before="20"/>
              <w:rPr>
                <w:bCs/>
                <w:sz w:val="20"/>
                <w:szCs w:val="20"/>
              </w:rPr>
            </w:pPr>
            <w:r w:rsidRPr="00137F8C">
              <w:rPr>
                <w:bCs/>
                <w:sz w:val="20"/>
                <w:szCs w:val="20"/>
              </w:rPr>
              <w:t xml:space="preserve">Ovšem nově přidaný text, který vyžaduje, že se u každého předmětu píše, kolik hodin v něm garant </w:t>
            </w:r>
            <w:proofErr w:type="gramStart"/>
            <w:r w:rsidRPr="00137F8C">
              <w:rPr>
                <w:bCs/>
                <w:sz w:val="20"/>
                <w:szCs w:val="20"/>
              </w:rPr>
              <w:t>odučí</w:t>
            </w:r>
            <w:proofErr w:type="gramEnd"/>
            <w:r w:rsidRPr="00137F8C">
              <w:rPr>
                <w:bCs/>
                <w:sz w:val="20"/>
                <w:szCs w:val="20"/>
              </w:rPr>
              <w:t>, spíš nasvědčuje tomu, že relevantním zapojením je pro úřad pouze kontaktní výuka. To nepovažujeme za šťastné.</w:t>
            </w:r>
          </w:p>
        </w:tc>
        <w:tc>
          <w:tcPr>
            <w:tcW w:w="649" w:type="pct"/>
          </w:tcPr>
          <w:p w14:paraId="6B3C2726" w14:textId="313651E0" w:rsidR="0061594B" w:rsidRPr="00137F8C" w:rsidRDefault="00A447F1" w:rsidP="0061594B">
            <w:pPr>
              <w:spacing w:before="20"/>
              <w:rPr>
                <w:sz w:val="22"/>
                <w:szCs w:val="22"/>
              </w:rPr>
            </w:pPr>
            <w:r w:rsidRPr="00CE7F08">
              <w:rPr>
                <w:b/>
                <w:bCs/>
                <w:sz w:val="22"/>
                <w:szCs w:val="22"/>
              </w:rPr>
              <w:t>Akceptováno částečně</w:t>
            </w:r>
            <w:r>
              <w:rPr>
                <w:sz w:val="22"/>
                <w:szCs w:val="22"/>
              </w:rPr>
              <w:t>. Viz připomínka č. 17</w:t>
            </w:r>
          </w:p>
        </w:tc>
      </w:tr>
      <w:tr w:rsidR="0061594B" w:rsidRPr="00137F8C" w14:paraId="2AA12C70" w14:textId="77777777" w:rsidTr="13403F21">
        <w:trPr>
          <w:trHeight w:val="567"/>
        </w:trPr>
        <w:tc>
          <w:tcPr>
            <w:tcW w:w="174" w:type="pct"/>
          </w:tcPr>
          <w:p w14:paraId="6A08E5DA" w14:textId="77777777" w:rsidR="0061594B" w:rsidRPr="00137F8C" w:rsidRDefault="0061594B" w:rsidP="0061594B">
            <w:pPr>
              <w:numPr>
                <w:ilvl w:val="0"/>
                <w:numId w:val="1"/>
              </w:numPr>
              <w:spacing w:before="20"/>
              <w:rPr>
                <w:b/>
                <w:sz w:val="22"/>
                <w:szCs w:val="22"/>
              </w:rPr>
            </w:pPr>
          </w:p>
        </w:tc>
        <w:tc>
          <w:tcPr>
            <w:tcW w:w="633" w:type="pct"/>
          </w:tcPr>
          <w:p w14:paraId="7266DEA5" w14:textId="77777777" w:rsidR="0061594B" w:rsidRPr="00137F8C" w:rsidRDefault="0061594B" w:rsidP="0061594B">
            <w:pPr>
              <w:spacing w:before="20"/>
              <w:rPr>
                <w:bCs/>
                <w:iCs/>
                <w:sz w:val="22"/>
                <w:szCs w:val="22"/>
              </w:rPr>
            </w:pPr>
            <w:r w:rsidRPr="00137F8C">
              <w:rPr>
                <w:bCs/>
                <w:iCs/>
                <w:sz w:val="22"/>
                <w:szCs w:val="22"/>
              </w:rPr>
              <w:t>a A-D</w:t>
            </w:r>
          </w:p>
        </w:tc>
        <w:tc>
          <w:tcPr>
            <w:tcW w:w="557" w:type="pct"/>
          </w:tcPr>
          <w:p w14:paraId="6F7842D8" w14:textId="77777777" w:rsidR="0061594B" w:rsidRPr="00137F8C" w:rsidRDefault="0061594B" w:rsidP="0061594B">
            <w:pPr>
              <w:spacing w:before="20"/>
              <w:rPr>
                <w:bCs/>
                <w:iCs/>
                <w:sz w:val="22"/>
                <w:szCs w:val="22"/>
              </w:rPr>
            </w:pPr>
            <w:r w:rsidRPr="00137F8C">
              <w:rPr>
                <w:bCs/>
                <w:iCs/>
                <w:sz w:val="22"/>
                <w:szCs w:val="22"/>
              </w:rPr>
              <w:t>17</w:t>
            </w:r>
          </w:p>
        </w:tc>
        <w:tc>
          <w:tcPr>
            <w:tcW w:w="1285" w:type="pct"/>
          </w:tcPr>
          <w:p w14:paraId="73A94FAD" w14:textId="77777777" w:rsidR="0061594B" w:rsidRPr="00137F8C" w:rsidRDefault="0061594B" w:rsidP="0061594B">
            <w:pPr>
              <w:spacing w:before="20"/>
              <w:rPr>
                <w:sz w:val="22"/>
                <w:szCs w:val="22"/>
              </w:rPr>
            </w:pPr>
            <w:r w:rsidRPr="00137F8C">
              <w:rPr>
                <w:sz w:val="22"/>
                <w:szCs w:val="22"/>
              </w:rPr>
              <w:t>Vloženou větu v posledním odstavci žádáme vypustit.</w:t>
            </w:r>
          </w:p>
        </w:tc>
        <w:tc>
          <w:tcPr>
            <w:tcW w:w="1702" w:type="pct"/>
          </w:tcPr>
          <w:p w14:paraId="41629FC0" w14:textId="77777777" w:rsidR="0061594B" w:rsidRPr="00137F8C" w:rsidRDefault="0061594B" w:rsidP="0061594B">
            <w:pPr>
              <w:spacing w:before="20"/>
              <w:rPr>
                <w:bCs/>
                <w:sz w:val="20"/>
                <w:szCs w:val="20"/>
              </w:rPr>
            </w:pPr>
            <w:r w:rsidRPr="00137F8C">
              <w:rPr>
                <w:bCs/>
                <w:sz w:val="20"/>
                <w:szCs w:val="20"/>
              </w:rPr>
              <w:t>Vložená věta diskriminuje malé vysoké školy a jde proti myšlence dělby práce. V současné době jsou nároky na získání vědeckých grantů stále vyšší. Malá vysoká škola může mít velké problémy získat dost grantů tak, aby měl každý studijní program několik grantů a aby je všechno vedli akademičtí pracovníci z oněch programů.</w:t>
            </w:r>
          </w:p>
          <w:p w14:paraId="7F9764FC" w14:textId="77777777" w:rsidR="0061594B" w:rsidRDefault="0061594B" w:rsidP="0061594B">
            <w:pPr>
              <w:spacing w:before="20"/>
              <w:rPr>
                <w:bCs/>
                <w:sz w:val="20"/>
                <w:szCs w:val="20"/>
              </w:rPr>
            </w:pPr>
            <w:r w:rsidRPr="00137F8C">
              <w:rPr>
                <w:bCs/>
                <w:sz w:val="20"/>
                <w:szCs w:val="20"/>
              </w:rPr>
              <w:t xml:space="preserve">Celá metodika (nejen tato část) se </w:t>
            </w:r>
            <w:proofErr w:type="gramStart"/>
            <w:r w:rsidRPr="00137F8C">
              <w:rPr>
                <w:bCs/>
                <w:sz w:val="20"/>
                <w:szCs w:val="20"/>
              </w:rPr>
              <w:t>snaží</w:t>
            </w:r>
            <w:proofErr w:type="gramEnd"/>
            <w:r w:rsidRPr="00137F8C">
              <w:rPr>
                <w:bCs/>
                <w:sz w:val="20"/>
                <w:szCs w:val="20"/>
              </w:rPr>
              <w:t xml:space="preserve"> tlačit na to, aby všichni dělali všechno, což je zcela v rozporu s tím, jak vznikají hodnoty a pokrok. Současně je problém zajistit dostatečný podíl na výuce a projektech u garanta předmětu/programu.</w:t>
            </w:r>
            <w:r>
              <w:rPr>
                <w:bCs/>
                <w:sz w:val="20"/>
                <w:szCs w:val="20"/>
              </w:rPr>
              <w:t xml:space="preserve"> Metodika současně</w:t>
            </w:r>
            <w:r w:rsidRPr="00711394">
              <w:rPr>
                <w:bCs/>
                <w:sz w:val="20"/>
                <w:szCs w:val="20"/>
              </w:rPr>
              <w:t xml:space="preserve"> </w:t>
            </w:r>
            <w:r>
              <w:rPr>
                <w:bCs/>
                <w:sz w:val="20"/>
                <w:szCs w:val="20"/>
              </w:rPr>
              <w:t>požaduje</w:t>
            </w:r>
            <w:r w:rsidRPr="00711394">
              <w:rPr>
                <w:bCs/>
                <w:sz w:val="20"/>
                <w:szCs w:val="20"/>
              </w:rPr>
              <w:t xml:space="preserve">, aby </w:t>
            </w:r>
            <w:r>
              <w:rPr>
                <w:bCs/>
                <w:sz w:val="20"/>
                <w:szCs w:val="20"/>
              </w:rPr>
              <w:t>se garant</w:t>
            </w:r>
            <w:r w:rsidRPr="00711394">
              <w:rPr>
                <w:bCs/>
                <w:sz w:val="20"/>
                <w:szCs w:val="20"/>
              </w:rPr>
              <w:t xml:space="preserve"> zásadním způsobem podílel na výuce, zásadním způsobem podílel na výzkumných projektech, k tomu vedl bakalářské, diplomové, disertační práce. </w:t>
            </w:r>
            <w:r>
              <w:rPr>
                <w:bCs/>
                <w:sz w:val="20"/>
                <w:szCs w:val="20"/>
              </w:rPr>
              <w:t>Za předpokladu, že na všechny tyto aktivity má být poskytnut garantovi dostatečný prostor, jedná se o konstrukt stěží splnitelný bez významného porušení norem pracovního práva. Touto kumulací v osobě garanta je také minimalizována možnost zapojení a výchovy nástupnické generace mladých akademických pracovníků.</w:t>
            </w:r>
          </w:p>
          <w:p w14:paraId="6E0A0863" w14:textId="77777777" w:rsidR="0061594B" w:rsidRPr="00711394" w:rsidRDefault="0061594B" w:rsidP="0061594B">
            <w:pPr>
              <w:spacing w:before="20"/>
              <w:rPr>
                <w:bCs/>
                <w:sz w:val="20"/>
                <w:szCs w:val="20"/>
              </w:rPr>
            </w:pPr>
            <w:r w:rsidRPr="00711394">
              <w:rPr>
                <w:bCs/>
                <w:sz w:val="20"/>
                <w:szCs w:val="20"/>
              </w:rPr>
              <w:t xml:space="preserve">V případě rozporované věty jde o požadavek, který nevyplývá ani ze zákona o vysokých školách, ani z nařízení vlády o standardech pro akreditace ve vysokém školství. Podle navrhovaného ustanovení by mohlo být po vysoké škole </w:t>
            </w:r>
            <w:r w:rsidRPr="00711394">
              <w:rPr>
                <w:bCs/>
                <w:sz w:val="20"/>
                <w:szCs w:val="20"/>
              </w:rPr>
              <w:lastRenderedPageBreak/>
              <w:t>požadováno plnění povinnosti jinak než na základě zákona a v jeho mezích, což je postup nedovolený (</w:t>
            </w:r>
            <w:proofErr w:type="spellStart"/>
            <w:r w:rsidRPr="00711394">
              <w:rPr>
                <w:bCs/>
                <w:sz w:val="20"/>
                <w:szCs w:val="20"/>
              </w:rPr>
              <w:t>contra</w:t>
            </w:r>
            <w:proofErr w:type="spellEnd"/>
            <w:r w:rsidRPr="00711394">
              <w:rPr>
                <w:bCs/>
                <w:sz w:val="20"/>
                <w:szCs w:val="20"/>
              </w:rPr>
              <w:t xml:space="preserve"> legem).</w:t>
            </w:r>
          </w:p>
          <w:p w14:paraId="11F0AD16" w14:textId="77777777" w:rsidR="0061594B" w:rsidRPr="00137F8C" w:rsidRDefault="0061594B" w:rsidP="0061594B">
            <w:pPr>
              <w:spacing w:before="20"/>
              <w:rPr>
                <w:bCs/>
                <w:sz w:val="20"/>
                <w:szCs w:val="20"/>
              </w:rPr>
            </w:pPr>
          </w:p>
        </w:tc>
        <w:tc>
          <w:tcPr>
            <w:tcW w:w="649" w:type="pct"/>
          </w:tcPr>
          <w:p w14:paraId="5FD0536A" w14:textId="77777777" w:rsidR="00A1191D" w:rsidRPr="00305623" w:rsidRDefault="7C2C371D" w:rsidP="00A1191D">
            <w:pPr>
              <w:spacing w:before="20"/>
            </w:pPr>
            <w:r w:rsidRPr="13403F21">
              <w:rPr>
                <w:b/>
                <w:bCs/>
                <w:sz w:val="22"/>
                <w:szCs w:val="22"/>
              </w:rPr>
              <w:lastRenderedPageBreak/>
              <w:t>Akceptováno částečně</w:t>
            </w:r>
            <w:r w:rsidRPr="13403F21">
              <w:rPr>
                <w:sz w:val="22"/>
                <w:szCs w:val="22"/>
              </w:rPr>
              <w:t xml:space="preserve">. Formulace bude upravena na </w:t>
            </w:r>
            <w:r w:rsidRPr="00F85FF9">
              <w:rPr>
                <w:sz w:val="22"/>
                <w:szCs w:val="22"/>
              </w:rPr>
              <w:t>“Akademičtí pracovníci zajišťující předkládaný studijní program by měli být řešiteli/spoluřešiteli projektu na dané vysoké škole (má-li být studijní program uskutečňován součástí vysoké školy, pak na této součásti).”</w:t>
            </w:r>
          </w:p>
          <w:p w14:paraId="561CEF56" w14:textId="77777777" w:rsidR="00A1191D" w:rsidRDefault="00A1191D" w:rsidP="00A1191D">
            <w:pPr>
              <w:spacing w:before="20"/>
              <w:rPr>
                <w:sz w:val="22"/>
                <w:szCs w:val="22"/>
              </w:rPr>
            </w:pPr>
            <w:r w:rsidRPr="34F5C39D">
              <w:rPr>
                <w:sz w:val="22"/>
                <w:szCs w:val="22"/>
              </w:rPr>
              <w:t xml:space="preserve">Realizace studijního </w:t>
            </w:r>
            <w:r w:rsidRPr="34F5C39D">
              <w:rPr>
                <w:sz w:val="22"/>
                <w:szCs w:val="22"/>
              </w:rPr>
              <w:lastRenderedPageBreak/>
              <w:t>programu nemůže být odtržena od tvůrčí činnosti vysoké školy, naopak by s ním měla být provázána.</w:t>
            </w:r>
          </w:p>
          <w:p w14:paraId="2F168A50" w14:textId="77777777" w:rsidR="00A1191D" w:rsidRDefault="00A1191D" w:rsidP="00A1191D">
            <w:pPr>
              <w:spacing w:before="20"/>
              <w:rPr>
                <w:sz w:val="22"/>
                <w:szCs w:val="22"/>
              </w:rPr>
            </w:pPr>
          </w:p>
          <w:p w14:paraId="0EC4F143" w14:textId="77777777" w:rsidR="00A1191D" w:rsidRDefault="00A1191D" w:rsidP="00A1191D">
            <w:pPr>
              <w:spacing w:before="20"/>
              <w:rPr>
                <w:sz w:val="22"/>
                <w:szCs w:val="22"/>
              </w:rPr>
            </w:pPr>
            <w:r w:rsidRPr="00346995">
              <w:rPr>
                <w:sz w:val="22"/>
                <w:szCs w:val="22"/>
              </w:rPr>
              <w:t>Formulace</w:t>
            </w:r>
            <w:r>
              <w:rPr>
                <w:sz w:val="22"/>
                <w:szCs w:val="22"/>
              </w:rPr>
              <w:t xml:space="preserve"> ve vztahu k uvádění vedených kvalifikačních prací</w:t>
            </w:r>
            <w:r w:rsidRPr="00346995">
              <w:rPr>
                <w:sz w:val="22"/>
                <w:szCs w:val="22"/>
              </w:rPr>
              <w:t xml:space="preserve"> bude upravena na “</w:t>
            </w:r>
            <w:r w:rsidRPr="00F85FF9">
              <w:rPr>
                <w:sz w:val="22"/>
                <w:szCs w:val="22"/>
              </w:rPr>
              <w:t>za posledních 10 let</w:t>
            </w:r>
            <w:r w:rsidRPr="00346995">
              <w:rPr>
                <w:sz w:val="22"/>
                <w:szCs w:val="22"/>
              </w:rPr>
              <w:t xml:space="preserve">”. </w:t>
            </w:r>
            <w:r>
              <w:rPr>
                <w:sz w:val="22"/>
                <w:szCs w:val="22"/>
              </w:rPr>
              <w:t>Požaduje se pouze předchozí z</w:t>
            </w:r>
            <w:r w:rsidRPr="00346995">
              <w:rPr>
                <w:sz w:val="22"/>
                <w:szCs w:val="22"/>
              </w:rPr>
              <w:t>kušenost s vedením kvalifikačních prací</w:t>
            </w:r>
            <w:r>
              <w:rPr>
                <w:sz w:val="22"/>
                <w:szCs w:val="22"/>
              </w:rPr>
              <w:t>, nikoli kontinuální vedení prací velkého počtu prací.</w:t>
            </w:r>
          </w:p>
          <w:p w14:paraId="346854C8" w14:textId="77777777" w:rsidR="00A1191D" w:rsidRDefault="00A1191D" w:rsidP="00A1191D">
            <w:pPr>
              <w:spacing w:before="20"/>
              <w:rPr>
                <w:sz w:val="22"/>
                <w:szCs w:val="22"/>
              </w:rPr>
            </w:pPr>
          </w:p>
          <w:p w14:paraId="592CE6DA" w14:textId="21895466" w:rsidR="0061594B" w:rsidRPr="00137F8C" w:rsidRDefault="00A1191D" w:rsidP="00A1191D">
            <w:pPr>
              <w:spacing w:before="20"/>
              <w:rPr>
                <w:sz w:val="22"/>
                <w:szCs w:val="22"/>
              </w:rPr>
            </w:pPr>
            <w:r>
              <w:rPr>
                <w:sz w:val="22"/>
                <w:szCs w:val="22"/>
              </w:rPr>
              <w:t>Další úprava textace viz připomínka č. 17</w:t>
            </w:r>
          </w:p>
        </w:tc>
      </w:tr>
      <w:tr w:rsidR="0061594B" w:rsidRPr="00137F8C" w14:paraId="45D554DC" w14:textId="77777777" w:rsidTr="13403F21">
        <w:trPr>
          <w:trHeight w:val="567"/>
        </w:trPr>
        <w:tc>
          <w:tcPr>
            <w:tcW w:w="174" w:type="pct"/>
          </w:tcPr>
          <w:p w14:paraId="0432861B" w14:textId="77777777" w:rsidR="0061594B" w:rsidRPr="00137F8C" w:rsidRDefault="0061594B" w:rsidP="0061594B">
            <w:pPr>
              <w:numPr>
                <w:ilvl w:val="0"/>
                <w:numId w:val="1"/>
              </w:numPr>
              <w:spacing w:before="20"/>
              <w:rPr>
                <w:b/>
                <w:sz w:val="22"/>
                <w:szCs w:val="22"/>
              </w:rPr>
            </w:pPr>
          </w:p>
        </w:tc>
        <w:tc>
          <w:tcPr>
            <w:tcW w:w="633" w:type="pct"/>
          </w:tcPr>
          <w:p w14:paraId="214F5CE1" w14:textId="77777777" w:rsidR="0061594B" w:rsidRPr="00137F8C" w:rsidRDefault="0061594B" w:rsidP="0061594B">
            <w:pPr>
              <w:spacing w:before="20"/>
              <w:rPr>
                <w:bCs/>
                <w:iCs/>
                <w:sz w:val="22"/>
                <w:szCs w:val="22"/>
              </w:rPr>
            </w:pPr>
            <w:r w:rsidRPr="00137F8C">
              <w:rPr>
                <w:bCs/>
                <w:iCs/>
                <w:sz w:val="22"/>
                <w:szCs w:val="22"/>
              </w:rPr>
              <w:t>a A-D</w:t>
            </w:r>
          </w:p>
        </w:tc>
        <w:tc>
          <w:tcPr>
            <w:tcW w:w="557" w:type="pct"/>
          </w:tcPr>
          <w:p w14:paraId="7CAAD783" w14:textId="77777777" w:rsidR="0061594B" w:rsidRPr="00137F8C" w:rsidRDefault="0061594B" w:rsidP="0061594B">
            <w:pPr>
              <w:spacing w:before="20"/>
              <w:rPr>
                <w:bCs/>
                <w:iCs/>
                <w:sz w:val="22"/>
                <w:szCs w:val="22"/>
              </w:rPr>
            </w:pPr>
            <w:r w:rsidRPr="00137F8C">
              <w:rPr>
                <w:bCs/>
                <w:iCs/>
                <w:sz w:val="22"/>
                <w:szCs w:val="22"/>
              </w:rPr>
              <w:t>21</w:t>
            </w:r>
          </w:p>
        </w:tc>
        <w:tc>
          <w:tcPr>
            <w:tcW w:w="1285" w:type="pct"/>
          </w:tcPr>
          <w:p w14:paraId="411AAA23" w14:textId="77777777" w:rsidR="0061594B" w:rsidRPr="00137F8C" w:rsidRDefault="0061594B" w:rsidP="0061594B">
            <w:pPr>
              <w:spacing w:before="20"/>
              <w:rPr>
                <w:sz w:val="22"/>
                <w:szCs w:val="22"/>
              </w:rPr>
            </w:pPr>
            <w:r w:rsidRPr="00137F8C">
              <w:rPr>
                <w:sz w:val="22"/>
                <w:szCs w:val="22"/>
              </w:rPr>
              <w:t>Žádáme, aby z požadavků na distanční programy v části D-I byl vypuštěn požadavek na systém vnitřního zajišťování kvality, jelikož ten je již obsažen v požadavcích na sebehodnotící zprávu.</w:t>
            </w:r>
          </w:p>
        </w:tc>
        <w:tc>
          <w:tcPr>
            <w:tcW w:w="1702" w:type="pct"/>
          </w:tcPr>
          <w:p w14:paraId="36FDC9C5" w14:textId="77777777" w:rsidR="0061594B" w:rsidRPr="00137F8C" w:rsidRDefault="0061594B" w:rsidP="0061594B">
            <w:pPr>
              <w:spacing w:before="20"/>
              <w:rPr>
                <w:bCs/>
                <w:sz w:val="22"/>
                <w:szCs w:val="22"/>
              </w:rPr>
            </w:pPr>
            <w:r w:rsidRPr="00137F8C">
              <w:rPr>
                <w:bCs/>
                <w:sz w:val="22"/>
                <w:szCs w:val="22"/>
              </w:rPr>
              <w:t>Vnitřní systém zajišťování kvality má být detailně popsán v sebehodnotící zprávě. Nedává smysl, aby byl speciálně opakován zde.</w:t>
            </w:r>
          </w:p>
        </w:tc>
        <w:tc>
          <w:tcPr>
            <w:tcW w:w="649" w:type="pct"/>
          </w:tcPr>
          <w:p w14:paraId="4132683A" w14:textId="73AD5459" w:rsidR="0061594B" w:rsidRPr="00137F8C" w:rsidRDefault="00CD5976" w:rsidP="0061594B">
            <w:pPr>
              <w:spacing w:before="20"/>
              <w:rPr>
                <w:sz w:val="22"/>
                <w:szCs w:val="22"/>
              </w:rPr>
            </w:pPr>
            <w:r w:rsidRPr="003F617E">
              <w:rPr>
                <w:b/>
                <w:bCs/>
                <w:sz w:val="22"/>
                <w:szCs w:val="22"/>
              </w:rPr>
              <w:t>Neakceptováno.</w:t>
            </w:r>
            <w:r>
              <w:rPr>
                <w:sz w:val="22"/>
                <w:szCs w:val="22"/>
              </w:rPr>
              <w:t xml:space="preserve"> V příloze E se popíše systém vnitřního zajišťování kvality na vysoké škole a dále zhodnocení naplnění standardů </w:t>
            </w:r>
            <w:r>
              <w:rPr>
                <w:sz w:val="22"/>
                <w:szCs w:val="22"/>
              </w:rPr>
              <w:lastRenderedPageBreak/>
              <w:t>7.1-7.3. Příloha D oproti tomu obsahuje specifická pravidla, procesy a podmínky pro zajištění kvality distanční formy studia se zohledněním zvláštních nároků, které tato forma na vnitřní zajišťování kvality klade. Byť může existovat určitý překryv, nejedná se o opakování téhož.</w:t>
            </w:r>
          </w:p>
        </w:tc>
      </w:tr>
      <w:tr w:rsidR="0061594B" w:rsidRPr="00137F8C" w14:paraId="3C63DB69" w14:textId="77777777" w:rsidTr="13403F21">
        <w:trPr>
          <w:trHeight w:val="567"/>
        </w:trPr>
        <w:tc>
          <w:tcPr>
            <w:tcW w:w="174" w:type="pct"/>
          </w:tcPr>
          <w:p w14:paraId="242542F5" w14:textId="77777777" w:rsidR="0061594B" w:rsidRPr="00137F8C" w:rsidRDefault="0061594B" w:rsidP="0061594B">
            <w:pPr>
              <w:numPr>
                <w:ilvl w:val="0"/>
                <w:numId w:val="1"/>
              </w:numPr>
              <w:spacing w:before="20"/>
              <w:rPr>
                <w:b/>
                <w:sz w:val="22"/>
                <w:szCs w:val="22"/>
              </w:rPr>
            </w:pPr>
          </w:p>
        </w:tc>
        <w:tc>
          <w:tcPr>
            <w:tcW w:w="633" w:type="pct"/>
          </w:tcPr>
          <w:p w14:paraId="44866BF9" w14:textId="77777777" w:rsidR="0061594B" w:rsidRPr="00137F8C" w:rsidRDefault="0061594B" w:rsidP="0061594B">
            <w:pPr>
              <w:spacing w:before="20"/>
              <w:rPr>
                <w:bCs/>
                <w:iCs/>
                <w:sz w:val="22"/>
                <w:szCs w:val="22"/>
              </w:rPr>
            </w:pPr>
            <w:r w:rsidRPr="00137F8C">
              <w:rPr>
                <w:bCs/>
                <w:iCs/>
                <w:sz w:val="22"/>
                <w:szCs w:val="22"/>
              </w:rPr>
              <w:t>a A-D</w:t>
            </w:r>
          </w:p>
        </w:tc>
        <w:tc>
          <w:tcPr>
            <w:tcW w:w="557" w:type="pct"/>
          </w:tcPr>
          <w:p w14:paraId="73E9076C" w14:textId="77777777" w:rsidR="0061594B" w:rsidRPr="00137F8C" w:rsidRDefault="0061594B" w:rsidP="0061594B">
            <w:pPr>
              <w:spacing w:before="20"/>
              <w:rPr>
                <w:bCs/>
                <w:iCs/>
                <w:sz w:val="22"/>
                <w:szCs w:val="22"/>
              </w:rPr>
            </w:pPr>
            <w:r w:rsidRPr="00137F8C">
              <w:rPr>
                <w:bCs/>
                <w:iCs/>
                <w:sz w:val="22"/>
                <w:szCs w:val="22"/>
              </w:rPr>
              <w:t>21</w:t>
            </w:r>
          </w:p>
        </w:tc>
        <w:tc>
          <w:tcPr>
            <w:tcW w:w="1285" w:type="pct"/>
          </w:tcPr>
          <w:p w14:paraId="4DCE9D84" w14:textId="77777777" w:rsidR="0061594B" w:rsidRPr="00137F8C" w:rsidRDefault="0061594B" w:rsidP="0061594B">
            <w:pPr>
              <w:spacing w:before="20"/>
              <w:rPr>
                <w:sz w:val="22"/>
                <w:szCs w:val="22"/>
              </w:rPr>
            </w:pPr>
            <w:r w:rsidRPr="00137F8C">
              <w:rPr>
                <w:sz w:val="22"/>
                <w:szCs w:val="22"/>
              </w:rPr>
              <w:t xml:space="preserve">Nově vložený text vůbec </w:t>
            </w:r>
            <w:proofErr w:type="gramStart"/>
            <w:r w:rsidRPr="00137F8C">
              <w:rPr>
                <w:sz w:val="22"/>
                <w:szCs w:val="22"/>
              </w:rPr>
              <w:t>neřeší</w:t>
            </w:r>
            <w:proofErr w:type="gramEnd"/>
            <w:r w:rsidRPr="00137F8C">
              <w:rPr>
                <w:sz w:val="22"/>
                <w:szCs w:val="22"/>
              </w:rPr>
              <w:t xml:space="preserve"> to, pro co úřad sliboval připravit pravidla – synchronní a asynchronní výuku. Dále </w:t>
            </w:r>
            <w:proofErr w:type="gramStart"/>
            <w:r w:rsidRPr="00137F8C">
              <w:rPr>
                <w:sz w:val="22"/>
                <w:szCs w:val="22"/>
              </w:rPr>
              <w:t>neřeší</w:t>
            </w:r>
            <w:proofErr w:type="gramEnd"/>
            <w:r w:rsidRPr="00137F8C">
              <w:rPr>
                <w:sz w:val="22"/>
                <w:szCs w:val="22"/>
              </w:rPr>
              <w:t xml:space="preserve"> to, jaká je hranice mezi prezenční a kombinovanou výukou a jaká je hranice mezi kombinovanou a distanční výukou. </w:t>
            </w:r>
            <w:r w:rsidRPr="00137F8C">
              <w:rPr>
                <w:b/>
                <w:bCs/>
                <w:sz w:val="22"/>
                <w:szCs w:val="22"/>
              </w:rPr>
              <w:t>Žádáme, aby úřad patřičně upravil pravidla pro synchronní online studium</w:t>
            </w:r>
            <w:r w:rsidRPr="00137F8C">
              <w:rPr>
                <w:sz w:val="22"/>
                <w:szCs w:val="22"/>
              </w:rPr>
              <w:t>.</w:t>
            </w:r>
          </w:p>
        </w:tc>
        <w:tc>
          <w:tcPr>
            <w:tcW w:w="1702" w:type="pct"/>
          </w:tcPr>
          <w:p w14:paraId="0A7D9E5C" w14:textId="77777777" w:rsidR="0061594B" w:rsidRPr="00137F8C" w:rsidRDefault="0061594B" w:rsidP="0061594B">
            <w:pPr>
              <w:spacing w:before="20"/>
              <w:rPr>
                <w:bCs/>
                <w:sz w:val="22"/>
                <w:szCs w:val="22"/>
              </w:rPr>
            </w:pPr>
            <w:proofErr w:type="spellStart"/>
            <w:r w:rsidRPr="00137F8C">
              <w:rPr>
                <w:bCs/>
                <w:sz w:val="22"/>
                <w:szCs w:val="22"/>
              </w:rPr>
              <w:t>Covidové</w:t>
            </w:r>
            <w:proofErr w:type="spellEnd"/>
            <w:r w:rsidRPr="00137F8C">
              <w:rPr>
                <w:bCs/>
                <w:sz w:val="22"/>
                <w:szCs w:val="22"/>
              </w:rPr>
              <w:t xml:space="preserve"> období přispělo k rozvoji online studia, které je distanční ve smyslu toho, že studenti nejsou fyzicky v budově školy, ale prezenční ve smyslu toho, že se výuka odehrává synchronně (a to ve stejném rozsahu jako v klasickém prezenčním studiu). Takové studium je ve většině ohledů mnohem blíže prezenčnímu než distančnímu studiu – např. speciální „studijní opory“ nejsou u synchronního online studia potřeba. Synchronní výukou se rozumí online přenos živé výuky s možností interakce studentů.</w:t>
            </w:r>
          </w:p>
        </w:tc>
        <w:tc>
          <w:tcPr>
            <w:tcW w:w="649" w:type="pct"/>
          </w:tcPr>
          <w:p w14:paraId="1030D4E4" w14:textId="7F5FC3B2" w:rsidR="0061594B" w:rsidRPr="00137F8C" w:rsidRDefault="00222730" w:rsidP="0061594B">
            <w:pPr>
              <w:spacing w:before="20"/>
              <w:rPr>
                <w:sz w:val="22"/>
                <w:szCs w:val="22"/>
              </w:rPr>
            </w:pPr>
            <w:r w:rsidRPr="003E1AA5">
              <w:rPr>
                <w:b/>
                <w:bCs/>
                <w:sz w:val="22"/>
                <w:szCs w:val="22"/>
              </w:rPr>
              <w:t>Neakceptováno.</w:t>
            </w:r>
            <w:r>
              <w:rPr>
                <w:sz w:val="22"/>
                <w:szCs w:val="22"/>
              </w:rPr>
              <w:t xml:space="preserve"> Není zřejmé, kdy či komu NAÚ přislíbil nastavit pravidla konkrétně pro synchronní a asynchronní výuku, na což se připomínka odvolává. Upravený metodický materiál podrobněji rozvádí ustanovení NV o standardech pro akreditace pro distanční formu studia v jejich stávající podobě. </w:t>
            </w:r>
            <w:r>
              <w:rPr>
                <w:sz w:val="22"/>
                <w:szCs w:val="22"/>
              </w:rPr>
              <w:lastRenderedPageBreak/>
              <w:t xml:space="preserve">K nastavení dalších pravidel pro distanční formu výuky ve shodě mezi vysokými školami běželo a </w:t>
            </w:r>
            <w:proofErr w:type="gramStart"/>
            <w:r>
              <w:rPr>
                <w:sz w:val="22"/>
                <w:szCs w:val="22"/>
              </w:rPr>
              <w:t>běží</w:t>
            </w:r>
            <w:proofErr w:type="gramEnd"/>
            <w:r>
              <w:rPr>
                <w:sz w:val="22"/>
                <w:szCs w:val="22"/>
              </w:rPr>
              <w:t xml:space="preserve"> několik projektů podporovaných MŠMT (např. CRP). NAÚ předpokládá, že z těchto projektů vzejdou konkrétní doporučení pro zajišťování kvality distanční formy studia, popř. podněty pro MŠMT k úpravě NV </w:t>
            </w:r>
            <w:r w:rsidR="00B45CBC">
              <w:rPr>
                <w:sz w:val="22"/>
                <w:szCs w:val="22"/>
              </w:rPr>
              <w:t xml:space="preserve">o </w:t>
            </w:r>
            <w:r>
              <w:rPr>
                <w:sz w:val="22"/>
                <w:szCs w:val="22"/>
              </w:rPr>
              <w:t>standardech pro akreditace.</w:t>
            </w:r>
          </w:p>
        </w:tc>
      </w:tr>
      <w:tr w:rsidR="0061594B" w:rsidRPr="00137F8C" w14:paraId="6A1625DC" w14:textId="77777777" w:rsidTr="13403F21">
        <w:trPr>
          <w:trHeight w:val="567"/>
        </w:trPr>
        <w:tc>
          <w:tcPr>
            <w:tcW w:w="174" w:type="pct"/>
          </w:tcPr>
          <w:p w14:paraId="5DE527E7" w14:textId="77777777" w:rsidR="0061594B" w:rsidRPr="00137F8C" w:rsidRDefault="0061594B" w:rsidP="0061594B">
            <w:pPr>
              <w:numPr>
                <w:ilvl w:val="0"/>
                <w:numId w:val="1"/>
              </w:numPr>
              <w:spacing w:before="20"/>
              <w:rPr>
                <w:b/>
                <w:sz w:val="22"/>
                <w:szCs w:val="22"/>
              </w:rPr>
            </w:pPr>
          </w:p>
        </w:tc>
        <w:tc>
          <w:tcPr>
            <w:tcW w:w="633" w:type="pct"/>
          </w:tcPr>
          <w:p w14:paraId="3B38C42D" w14:textId="77777777" w:rsidR="0061594B" w:rsidRPr="00137F8C" w:rsidRDefault="0061594B" w:rsidP="0061594B">
            <w:pPr>
              <w:spacing w:before="20"/>
              <w:rPr>
                <w:bCs/>
                <w:iCs/>
                <w:sz w:val="22"/>
                <w:szCs w:val="22"/>
              </w:rPr>
            </w:pPr>
            <w:r w:rsidRPr="00137F8C">
              <w:rPr>
                <w:bCs/>
                <w:iCs/>
                <w:sz w:val="22"/>
                <w:szCs w:val="22"/>
              </w:rPr>
              <w:t>b</w:t>
            </w:r>
          </w:p>
        </w:tc>
        <w:tc>
          <w:tcPr>
            <w:tcW w:w="557" w:type="pct"/>
          </w:tcPr>
          <w:p w14:paraId="0BCAC479" w14:textId="77777777" w:rsidR="0061594B" w:rsidRPr="00137F8C" w:rsidRDefault="0061594B" w:rsidP="0061594B">
            <w:pPr>
              <w:spacing w:before="20"/>
              <w:rPr>
                <w:bCs/>
                <w:iCs/>
                <w:sz w:val="22"/>
                <w:szCs w:val="22"/>
              </w:rPr>
            </w:pPr>
            <w:r w:rsidRPr="00137F8C">
              <w:rPr>
                <w:bCs/>
                <w:iCs/>
                <w:sz w:val="22"/>
                <w:szCs w:val="22"/>
              </w:rPr>
              <w:t>20</w:t>
            </w:r>
          </w:p>
        </w:tc>
        <w:tc>
          <w:tcPr>
            <w:tcW w:w="1285" w:type="pct"/>
          </w:tcPr>
          <w:p w14:paraId="7CE00C6D" w14:textId="77777777" w:rsidR="0061594B" w:rsidRPr="00137F8C" w:rsidRDefault="0061594B" w:rsidP="0061594B">
            <w:pPr>
              <w:spacing w:before="20"/>
              <w:rPr>
                <w:sz w:val="22"/>
                <w:szCs w:val="22"/>
              </w:rPr>
            </w:pPr>
            <w:r w:rsidRPr="00137F8C">
              <w:rPr>
                <w:b/>
                <w:bCs/>
                <w:sz w:val="22"/>
                <w:szCs w:val="22"/>
              </w:rPr>
              <w:t>Žádáme</w:t>
            </w:r>
            <w:r w:rsidRPr="00137F8C">
              <w:rPr>
                <w:sz w:val="22"/>
                <w:szCs w:val="22"/>
              </w:rPr>
              <w:t>, aby úřad přehodnotil požadavek, že předměty musejí mít své garanty.</w:t>
            </w:r>
          </w:p>
        </w:tc>
        <w:tc>
          <w:tcPr>
            <w:tcW w:w="1702" w:type="pct"/>
          </w:tcPr>
          <w:p w14:paraId="3A49B3D3" w14:textId="77777777" w:rsidR="0061594B" w:rsidRPr="00137F8C" w:rsidRDefault="0061594B" w:rsidP="0061594B">
            <w:pPr>
              <w:spacing w:before="20"/>
              <w:rPr>
                <w:bCs/>
                <w:sz w:val="22"/>
                <w:szCs w:val="22"/>
              </w:rPr>
            </w:pPr>
            <w:r w:rsidRPr="00137F8C">
              <w:rPr>
                <w:bCs/>
                <w:sz w:val="22"/>
                <w:szCs w:val="22"/>
              </w:rPr>
              <w:t xml:space="preserve">Obecně vzato je celá metodika úřadu postavena na dvou principech: 1) kvalita studijního programu se </w:t>
            </w:r>
            <w:proofErr w:type="gramStart"/>
            <w:r w:rsidRPr="00137F8C">
              <w:rPr>
                <w:bCs/>
                <w:sz w:val="22"/>
                <w:szCs w:val="22"/>
              </w:rPr>
              <w:t>měří</w:t>
            </w:r>
            <w:proofErr w:type="gramEnd"/>
            <w:r w:rsidRPr="00137F8C">
              <w:rPr>
                <w:bCs/>
                <w:sz w:val="22"/>
                <w:szCs w:val="22"/>
              </w:rPr>
              <w:t xml:space="preserve"> kvalitou vstupů, 2) pro zajišťování kvality je klíčová osobní garance. Je to vidět na tom, jak úřad více a více konkretizuje pravidla pro to, jakou musejí mít vyučující kvalifikaci, jaký typ pracovní smlouvy, jaký rozsah zapojení atd. Ale zároveň se nikde </w:t>
            </w:r>
            <w:proofErr w:type="gramStart"/>
            <w:r w:rsidRPr="00137F8C">
              <w:rPr>
                <w:bCs/>
                <w:sz w:val="22"/>
                <w:szCs w:val="22"/>
              </w:rPr>
              <w:t>neřeší</w:t>
            </w:r>
            <w:proofErr w:type="gramEnd"/>
            <w:r w:rsidRPr="00137F8C">
              <w:rPr>
                <w:bCs/>
                <w:sz w:val="22"/>
                <w:szCs w:val="22"/>
              </w:rPr>
              <w:t xml:space="preserve"> sama kvalita výuky nebo dokonce kvalita absolventů. Toto pojetí kvality je ale ve světě dávno překonané. V rozporu s českým pojetím je pro kvalitu programu důležitá spíše kvalita výstupů, ale především nastavení vnitřních procesů zajišťování kvality.</w:t>
            </w:r>
          </w:p>
          <w:p w14:paraId="388473CE" w14:textId="77777777" w:rsidR="0061594B" w:rsidRPr="00137F8C" w:rsidRDefault="0061594B" w:rsidP="0061594B">
            <w:pPr>
              <w:spacing w:before="20"/>
              <w:rPr>
                <w:bCs/>
                <w:sz w:val="22"/>
                <w:szCs w:val="22"/>
              </w:rPr>
            </w:pPr>
            <w:r w:rsidRPr="00137F8C">
              <w:rPr>
                <w:bCs/>
                <w:sz w:val="22"/>
                <w:szCs w:val="22"/>
              </w:rPr>
              <w:t xml:space="preserve">Na většině zahraničních univerzit neznají nic jako osobní garantování studijního programu, natož osobní </w:t>
            </w:r>
            <w:r w:rsidRPr="00137F8C">
              <w:rPr>
                <w:bCs/>
                <w:sz w:val="22"/>
                <w:szCs w:val="22"/>
              </w:rPr>
              <w:lastRenderedPageBreak/>
              <w:t>garantování studijního předmětu. Doporučujeme proto, aby se úřad přestal soustředit na osobní garanci předmětů, a místo toho sledoval, jakým způsobem vysoká škola schvaluje studijní předměty, jak monitoruje a kontroluje jejich uskutečňování, jaký systém reakce na případné problémy má zaveden, jak zajišťuje pravidelnou aktualizaci předmětů a jak podporuje jejich rozvoj. To je klíčové; ne osobní garantování.</w:t>
            </w:r>
          </w:p>
        </w:tc>
        <w:tc>
          <w:tcPr>
            <w:tcW w:w="649" w:type="pct"/>
          </w:tcPr>
          <w:p w14:paraId="4C5B6A9F" w14:textId="41297465" w:rsidR="0061594B" w:rsidRPr="00137F8C" w:rsidRDefault="00690C38" w:rsidP="0061594B">
            <w:pPr>
              <w:spacing w:before="20"/>
              <w:rPr>
                <w:sz w:val="22"/>
                <w:szCs w:val="22"/>
              </w:rPr>
            </w:pPr>
            <w:r w:rsidRPr="00690C38">
              <w:rPr>
                <w:b/>
                <w:bCs/>
                <w:sz w:val="22"/>
                <w:szCs w:val="22"/>
              </w:rPr>
              <w:lastRenderedPageBreak/>
              <w:t>Neakceptováno</w:t>
            </w:r>
            <w:r>
              <w:rPr>
                <w:sz w:val="22"/>
                <w:szCs w:val="22"/>
              </w:rPr>
              <w:t xml:space="preserve">. Povinnost, aby vybrané druhy studijních předmětů měly určeny své garanty, a základní požadavky na tyto garanty jsou stanoveny NV o standardech pro akreditace. </w:t>
            </w:r>
            <w:r w:rsidRPr="34F5C39D">
              <w:rPr>
                <w:sz w:val="22"/>
                <w:szCs w:val="22"/>
              </w:rPr>
              <w:t xml:space="preserve">Je-li vnímána potřeba tyto </w:t>
            </w:r>
            <w:r>
              <w:rPr>
                <w:sz w:val="22"/>
                <w:szCs w:val="22"/>
              </w:rPr>
              <w:t>požadavky</w:t>
            </w:r>
            <w:r w:rsidRPr="34F5C39D">
              <w:rPr>
                <w:sz w:val="22"/>
                <w:szCs w:val="22"/>
              </w:rPr>
              <w:t xml:space="preserve"> změnit, vhodnou </w:t>
            </w:r>
            <w:r w:rsidRPr="34F5C39D">
              <w:rPr>
                <w:sz w:val="22"/>
                <w:szCs w:val="22"/>
              </w:rPr>
              <w:lastRenderedPageBreak/>
              <w:t>cestou je podání podnětu k úpravě příslušného NV.</w:t>
            </w:r>
          </w:p>
        </w:tc>
      </w:tr>
      <w:tr w:rsidR="0061594B" w:rsidRPr="00137F8C" w14:paraId="4620825A" w14:textId="77777777" w:rsidTr="13403F21">
        <w:trPr>
          <w:trHeight w:val="567"/>
        </w:trPr>
        <w:tc>
          <w:tcPr>
            <w:tcW w:w="174" w:type="pct"/>
          </w:tcPr>
          <w:p w14:paraId="6EB7496D" w14:textId="77777777" w:rsidR="0061594B" w:rsidRPr="00137F8C" w:rsidRDefault="0061594B" w:rsidP="0061594B">
            <w:pPr>
              <w:numPr>
                <w:ilvl w:val="0"/>
                <w:numId w:val="1"/>
              </w:numPr>
              <w:spacing w:before="20"/>
              <w:rPr>
                <w:b/>
                <w:sz w:val="22"/>
                <w:szCs w:val="22"/>
              </w:rPr>
            </w:pPr>
          </w:p>
        </w:tc>
        <w:tc>
          <w:tcPr>
            <w:tcW w:w="633" w:type="pct"/>
          </w:tcPr>
          <w:p w14:paraId="0888D901" w14:textId="77777777" w:rsidR="0061594B" w:rsidRPr="00137F8C" w:rsidRDefault="0061594B" w:rsidP="0061594B">
            <w:pPr>
              <w:spacing w:before="20"/>
              <w:rPr>
                <w:bCs/>
                <w:iCs/>
                <w:sz w:val="22"/>
                <w:szCs w:val="22"/>
              </w:rPr>
            </w:pPr>
            <w:r w:rsidRPr="00137F8C">
              <w:rPr>
                <w:bCs/>
                <w:iCs/>
                <w:sz w:val="22"/>
                <w:szCs w:val="22"/>
              </w:rPr>
              <w:t>b</w:t>
            </w:r>
          </w:p>
        </w:tc>
        <w:tc>
          <w:tcPr>
            <w:tcW w:w="557" w:type="pct"/>
          </w:tcPr>
          <w:p w14:paraId="04F9BF54" w14:textId="77777777" w:rsidR="0061594B" w:rsidRPr="00137F8C" w:rsidRDefault="0061594B" w:rsidP="0061594B">
            <w:pPr>
              <w:spacing w:before="20"/>
              <w:rPr>
                <w:bCs/>
                <w:iCs/>
                <w:sz w:val="22"/>
                <w:szCs w:val="22"/>
              </w:rPr>
            </w:pPr>
            <w:r w:rsidRPr="00137F8C">
              <w:rPr>
                <w:bCs/>
                <w:iCs/>
                <w:sz w:val="22"/>
                <w:szCs w:val="22"/>
              </w:rPr>
              <w:t>24</w:t>
            </w:r>
          </w:p>
        </w:tc>
        <w:tc>
          <w:tcPr>
            <w:tcW w:w="1285" w:type="pct"/>
          </w:tcPr>
          <w:p w14:paraId="7C2DA353" w14:textId="77777777" w:rsidR="0061594B" w:rsidRPr="00137F8C" w:rsidRDefault="0061594B" w:rsidP="0061594B">
            <w:pPr>
              <w:spacing w:before="20"/>
              <w:rPr>
                <w:sz w:val="22"/>
                <w:szCs w:val="22"/>
              </w:rPr>
            </w:pPr>
            <w:r w:rsidRPr="00137F8C">
              <w:rPr>
                <w:b/>
                <w:bCs/>
                <w:sz w:val="22"/>
                <w:szCs w:val="22"/>
              </w:rPr>
              <w:t>Žádáme</w:t>
            </w:r>
            <w:r w:rsidRPr="00137F8C">
              <w:rPr>
                <w:sz w:val="22"/>
                <w:szCs w:val="22"/>
              </w:rPr>
              <w:t>, aby úřad nevyžadoval studijní opory u synchronních online programů. Nově navržený text vůbec nereflektuje vývoj posledních dvou let.</w:t>
            </w:r>
          </w:p>
        </w:tc>
        <w:tc>
          <w:tcPr>
            <w:tcW w:w="1702" w:type="pct"/>
          </w:tcPr>
          <w:p w14:paraId="7DDF8EA0" w14:textId="77777777" w:rsidR="0061594B" w:rsidRPr="00137F8C" w:rsidRDefault="0061594B" w:rsidP="0061594B">
            <w:pPr>
              <w:spacing w:before="20"/>
              <w:rPr>
                <w:bCs/>
                <w:sz w:val="22"/>
                <w:szCs w:val="22"/>
              </w:rPr>
            </w:pPr>
            <w:proofErr w:type="spellStart"/>
            <w:r w:rsidRPr="00137F8C">
              <w:rPr>
                <w:bCs/>
                <w:sz w:val="22"/>
                <w:szCs w:val="22"/>
              </w:rPr>
              <w:t>Covidové</w:t>
            </w:r>
            <w:proofErr w:type="spellEnd"/>
            <w:r w:rsidRPr="00137F8C">
              <w:rPr>
                <w:bCs/>
                <w:sz w:val="22"/>
                <w:szCs w:val="22"/>
              </w:rPr>
              <w:t xml:space="preserve"> období přispělo k rozvoji online studia, které je sice distanční ve smyslu toho, že studenti nejsou fyzicky v budově školy, ale prezenční ve smyslu toho, že se výuka odehrává synchronně (a to ve stejném rozsahu jako v klasickém prezenčním studiu). Takové studium je ve většině ohledů mnohem blíže prezenčnímu než distančnímu studiu – „studijní opory“ nejsou u synchronního online studia potřeba, protože kontaktní výuka probíhá v úplně stejném rozsahu jako prezenční.</w:t>
            </w:r>
          </w:p>
        </w:tc>
        <w:tc>
          <w:tcPr>
            <w:tcW w:w="649" w:type="pct"/>
          </w:tcPr>
          <w:p w14:paraId="046F8A7D" w14:textId="16628A03" w:rsidR="0061594B" w:rsidRPr="00137F8C" w:rsidRDefault="00A071C7" w:rsidP="0061594B">
            <w:pPr>
              <w:spacing w:before="20"/>
              <w:rPr>
                <w:sz w:val="22"/>
                <w:szCs w:val="22"/>
              </w:rPr>
            </w:pPr>
            <w:r w:rsidRPr="00245F0B">
              <w:rPr>
                <w:b/>
                <w:bCs/>
                <w:sz w:val="22"/>
                <w:szCs w:val="22"/>
              </w:rPr>
              <w:t>Neakceptováno</w:t>
            </w:r>
            <w:r>
              <w:rPr>
                <w:sz w:val="22"/>
                <w:szCs w:val="22"/>
              </w:rPr>
              <w:t>. Požadavek na existenci vhodných studijních opor je NV o standardech pro akreditace stanoven na studijní předměty uskutečňované v distanční formě studia. Dále viz připomínka č. 25</w:t>
            </w:r>
          </w:p>
        </w:tc>
      </w:tr>
      <w:tr w:rsidR="0061594B" w:rsidRPr="00137F8C" w14:paraId="11F11206" w14:textId="77777777" w:rsidTr="13403F21">
        <w:trPr>
          <w:trHeight w:val="567"/>
        </w:trPr>
        <w:tc>
          <w:tcPr>
            <w:tcW w:w="174" w:type="pct"/>
          </w:tcPr>
          <w:p w14:paraId="68357F39" w14:textId="77777777" w:rsidR="0061594B" w:rsidRPr="00137F8C" w:rsidRDefault="0061594B" w:rsidP="0061594B">
            <w:pPr>
              <w:numPr>
                <w:ilvl w:val="0"/>
                <w:numId w:val="1"/>
              </w:numPr>
              <w:spacing w:before="20"/>
              <w:rPr>
                <w:b/>
                <w:sz w:val="22"/>
                <w:szCs w:val="22"/>
              </w:rPr>
            </w:pPr>
          </w:p>
        </w:tc>
        <w:tc>
          <w:tcPr>
            <w:tcW w:w="633" w:type="pct"/>
          </w:tcPr>
          <w:p w14:paraId="675EA750" w14:textId="77777777" w:rsidR="0061594B" w:rsidRPr="00137F8C" w:rsidRDefault="0061594B" w:rsidP="0061594B">
            <w:pPr>
              <w:spacing w:before="20"/>
              <w:rPr>
                <w:bCs/>
                <w:iCs/>
                <w:sz w:val="22"/>
                <w:szCs w:val="22"/>
              </w:rPr>
            </w:pPr>
            <w:r w:rsidRPr="00137F8C">
              <w:rPr>
                <w:bCs/>
                <w:iCs/>
                <w:sz w:val="22"/>
                <w:szCs w:val="22"/>
              </w:rPr>
              <w:t>i Zásady</w:t>
            </w:r>
          </w:p>
        </w:tc>
        <w:tc>
          <w:tcPr>
            <w:tcW w:w="557" w:type="pct"/>
          </w:tcPr>
          <w:p w14:paraId="3545A0B3" w14:textId="77777777" w:rsidR="0061594B" w:rsidRPr="00137F8C" w:rsidRDefault="0061594B" w:rsidP="0061594B">
            <w:pPr>
              <w:spacing w:before="20"/>
              <w:rPr>
                <w:bCs/>
                <w:iCs/>
                <w:sz w:val="22"/>
                <w:szCs w:val="22"/>
              </w:rPr>
            </w:pPr>
            <w:r w:rsidRPr="00137F8C">
              <w:rPr>
                <w:bCs/>
                <w:iCs/>
                <w:sz w:val="22"/>
                <w:szCs w:val="22"/>
              </w:rPr>
              <w:t>1</w:t>
            </w:r>
          </w:p>
        </w:tc>
        <w:tc>
          <w:tcPr>
            <w:tcW w:w="1285" w:type="pct"/>
          </w:tcPr>
          <w:p w14:paraId="4B32B770" w14:textId="77777777" w:rsidR="0061594B" w:rsidRPr="00137F8C" w:rsidRDefault="0061594B" w:rsidP="0061594B">
            <w:pPr>
              <w:spacing w:before="20"/>
              <w:rPr>
                <w:sz w:val="22"/>
                <w:szCs w:val="22"/>
              </w:rPr>
            </w:pPr>
            <w:r w:rsidRPr="00137F8C">
              <w:rPr>
                <w:b/>
                <w:bCs/>
                <w:sz w:val="22"/>
                <w:szCs w:val="22"/>
              </w:rPr>
              <w:t>Žádáme</w:t>
            </w:r>
            <w:r w:rsidRPr="00137F8C">
              <w:rPr>
                <w:sz w:val="22"/>
                <w:szCs w:val="22"/>
              </w:rPr>
              <w:t>, aby úřad nevyžadoval uskutečňování tvůrčí činnosti.</w:t>
            </w:r>
          </w:p>
        </w:tc>
        <w:tc>
          <w:tcPr>
            <w:tcW w:w="1702" w:type="pct"/>
          </w:tcPr>
          <w:p w14:paraId="73B4174E" w14:textId="77777777" w:rsidR="0061594B" w:rsidRPr="00137F8C" w:rsidRDefault="0061594B" w:rsidP="0061594B">
            <w:pPr>
              <w:spacing w:before="20"/>
              <w:rPr>
                <w:bCs/>
                <w:sz w:val="22"/>
                <w:szCs w:val="22"/>
              </w:rPr>
            </w:pPr>
            <w:r w:rsidRPr="00137F8C">
              <w:rPr>
                <w:bCs/>
                <w:sz w:val="22"/>
                <w:szCs w:val="22"/>
              </w:rPr>
              <w:t xml:space="preserve">Vysokoškolský zákon jednoznačně rozlišuje mezi požadavky na tuzemskou akreditaci a požadavky na tuzemské oprávnění. V rámci tuzemské akreditace je povinností vytvoření podmínek pro řádné zajištění výuky a související tvůrčí činnosti (§ 79 odst. 4 písm. c) zákona) a naplňování příslušného nařízení vlády (§ 79 odst. 4 písm. b) zákona), což zahrnuje uskutečňování tvůrčí činnosti (část druhá, hlava I, oddíl D, kapitola V nařízení). V rámci tuzemského oprávnění je povinností vytvoření podmínek pro řádné zajištění výuky a související tvůrčí činnosti (§ 93h odst. 5 písm. a) zákona), ale nikoli naplňování požadavků nařízení, a tedy ani uskutečňování tvůrčí činnosti. V souladu s tím je i explicitně stanovena působnost nařízení (§ 1 nařízení), která nezahrnuje řízení o udělení tuzemského </w:t>
            </w:r>
            <w:r w:rsidRPr="00137F8C">
              <w:rPr>
                <w:bCs/>
                <w:sz w:val="22"/>
                <w:szCs w:val="22"/>
              </w:rPr>
              <w:lastRenderedPageBreak/>
              <w:t>oprávnění.</w:t>
            </w:r>
          </w:p>
        </w:tc>
        <w:tc>
          <w:tcPr>
            <w:tcW w:w="649" w:type="pct"/>
          </w:tcPr>
          <w:p w14:paraId="5EEF0073" w14:textId="597AFAE1" w:rsidR="0061594B" w:rsidRPr="00137F8C" w:rsidRDefault="008D63E7" w:rsidP="0061594B">
            <w:pPr>
              <w:spacing w:before="20"/>
              <w:rPr>
                <w:sz w:val="22"/>
                <w:szCs w:val="22"/>
              </w:rPr>
            </w:pPr>
            <w:r w:rsidRPr="007D5B80">
              <w:rPr>
                <w:b/>
                <w:bCs/>
                <w:sz w:val="22"/>
                <w:szCs w:val="22"/>
              </w:rPr>
              <w:lastRenderedPageBreak/>
              <w:t>Neakceptováno.</w:t>
            </w:r>
            <w:r>
              <w:rPr>
                <w:sz w:val="22"/>
                <w:szCs w:val="22"/>
              </w:rPr>
              <w:t xml:space="preserve"> Při posuzování podmínek pro rozvoj tvůrčí činnosti za účelem tuzemského oprávnění se NV o standardech pro akreditaci aplikuje pouze přiměřeně (a to i s ohledem na absenci jiných právních předpisů, při nichž by při posuzování </w:t>
            </w:r>
            <w:r>
              <w:rPr>
                <w:sz w:val="22"/>
                <w:szCs w:val="22"/>
              </w:rPr>
              <w:lastRenderedPageBreak/>
              <w:t xml:space="preserve">podmínek ve smyslu </w:t>
            </w:r>
            <w:r w:rsidRPr="002E77E0">
              <w:rPr>
                <w:sz w:val="22"/>
                <w:szCs w:val="22"/>
              </w:rPr>
              <w:t>§ 93f odst. 5</w:t>
            </w:r>
            <w:r>
              <w:rPr>
                <w:sz w:val="22"/>
                <w:szCs w:val="22"/>
              </w:rPr>
              <w:t xml:space="preserve"> </w:t>
            </w:r>
            <w:r w:rsidRPr="002E77E0">
              <w:rPr>
                <w:sz w:val="22"/>
                <w:szCs w:val="22"/>
              </w:rPr>
              <w:t>písm. a) nebo § 93h odst. 5 písm. a)</w:t>
            </w:r>
            <w:r>
              <w:rPr>
                <w:sz w:val="22"/>
                <w:szCs w:val="22"/>
              </w:rPr>
              <w:t xml:space="preserve"> ZVŠ bylo možné postupovat). Uskutečňování tvůrčí činnosti se nevyžaduje u zahraničních bakalářských studijních programů. U magisterských a zejména u doktorských studijních programů však ve vztahu k jejich charakteru není možné, aby byly řádně vytvořeny podmínky pro rozvoj tvůrčí činnosti bez toho, že by již nějaká tvůrčí činnost byla žadatelem realizována. Jedná se o zakotvení správní praxe vytvořené po zavedení povolovacího režimu pro mimoevropské </w:t>
            </w:r>
            <w:r>
              <w:rPr>
                <w:sz w:val="22"/>
                <w:szCs w:val="22"/>
              </w:rPr>
              <w:lastRenderedPageBreak/>
              <w:t>vysoké školy a jejich pobočky v ČR novelou ZVŠ v r. 2016</w:t>
            </w:r>
          </w:p>
        </w:tc>
      </w:tr>
      <w:tr w:rsidR="0061594B" w:rsidRPr="00137F8C" w14:paraId="2EBF5C02" w14:textId="77777777" w:rsidTr="13403F21">
        <w:trPr>
          <w:trHeight w:val="567"/>
        </w:trPr>
        <w:tc>
          <w:tcPr>
            <w:tcW w:w="174" w:type="pct"/>
          </w:tcPr>
          <w:p w14:paraId="684D2647" w14:textId="77777777" w:rsidR="0061594B" w:rsidRPr="00137F8C" w:rsidRDefault="0061594B" w:rsidP="0061594B">
            <w:pPr>
              <w:numPr>
                <w:ilvl w:val="0"/>
                <w:numId w:val="1"/>
              </w:numPr>
              <w:spacing w:before="20"/>
              <w:rPr>
                <w:b/>
                <w:sz w:val="22"/>
                <w:szCs w:val="22"/>
              </w:rPr>
            </w:pPr>
          </w:p>
        </w:tc>
        <w:tc>
          <w:tcPr>
            <w:tcW w:w="633" w:type="pct"/>
          </w:tcPr>
          <w:p w14:paraId="72C2512D" w14:textId="77777777" w:rsidR="0061594B" w:rsidRPr="00137F8C" w:rsidRDefault="0061594B" w:rsidP="0061594B">
            <w:pPr>
              <w:spacing w:before="20"/>
              <w:rPr>
                <w:bCs/>
                <w:iCs/>
                <w:sz w:val="22"/>
                <w:szCs w:val="22"/>
              </w:rPr>
            </w:pPr>
            <w:r w:rsidRPr="00137F8C">
              <w:rPr>
                <w:bCs/>
                <w:iCs/>
                <w:sz w:val="22"/>
                <w:szCs w:val="22"/>
              </w:rPr>
              <w:t>a</w:t>
            </w:r>
          </w:p>
          <w:p w14:paraId="23B10DF5" w14:textId="77777777" w:rsidR="0061594B" w:rsidRPr="00137F8C" w:rsidRDefault="0061594B" w:rsidP="0061594B">
            <w:pPr>
              <w:spacing w:before="20"/>
              <w:rPr>
                <w:bCs/>
                <w:iCs/>
                <w:sz w:val="22"/>
                <w:szCs w:val="22"/>
              </w:rPr>
            </w:pPr>
            <w:proofErr w:type="spellStart"/>
            <w:r w:rsidRPr="00137F8C">
              <w:rPr>
                <w:bCs/>
                <w:iCs/>
                <w:sz w:val="22"/>
                <w:szCs w:val="22"/>
              </w:rPr>
              <w:t>metod_a_SP</w:t>
            </w:r>
            <w:proofErr w:type="spellEnd"/>
            <w:r w:rsidRPr="00137F8C">
              <w:rPr>
                <w:bCs/>
                <w:iCs/>
                <w:sz w:val="22"/>
                <w:szCs w:val="22"/>
              </w:rPr>
              <w:t xml:space="preserve"> </w:t>
            </w:r>
            <w:proofErr w:type="spellStart"/>
            <w:r w:rsidRPr="00137F8C">
              <w:rPr>
                <w:bCs/>
                <w:iCs/>
                <w:sz w:val="22"/>
                <w:szCs w:val="22"/>
              </w:rPr>
              <w:t>Rev</w:t>
            </w:r>
            <w:proofErr w:type="spellEnd"/>
            <w:r w:rsidRPr="00137F8C">
              <w:rPr>
                <w:bCs/>
                <w:iCs/>
                <w:sz w:val="22"/>
                <w:szCs w:val="22"/>
              </w:rPr>
              <w:t>-informaci k </w:t>
            </w:r>
            <w:proofErr w:type="spellStart"/>
            <w:r w:rsidRPr="00137F8C">
              <w:rPr>
                <w:bCs/>
                <w:iCs/>
                <w:sz w:val="22"/>
                <w:szCs w:val="22"/>
              </w:rPr>
              <w:t>pril</w:t>
            </w:r>
            <w:proofErr w:type="spellEnd"/>
            <w:r w:rsidRPr="00137F8C">
              <w:rPr>
                <w:bCs/>
                <w:iCs/>
                <w:sz w:val="22"/>
                <w:szCs w:val="22"/>
              </w:rPr>
              <w:t xml:space="preserve"> A-D.docx</w:t>
            </w:r>
          </w:p>
          <w:p w14:paraId="5A7124FA" w14:textId="77777777" w:rsidR="0061594B" w:rsidRPr="00137F8C" w:rsidRDefault="0061594B" w:rsidP="0061594B">
            <w:pPr>
              <w:spacing w:before="20"/>
              <w:rPr>
                <w:bCs/>
                <w:iCs/>
                <w:sz w:val="22"/>
                <w:szCs w:val="22"/>
              </w:rPr>
            </w:pPr>
          </w:p>
        </w:tc>
        <w:tc>
          <w:tcPr>
            <w:tcW w:w="557" w:type="pct"/>
          </w:tcPr>
          <w:p w14:paraId="41A474C5" w14:textId="77777777" w:rsidR="0061594B" w:rsidRPr="00137F8C" w:rsidRDefault="0061594B" w:rsidP="0061594B">
            <w:pPr>
              <w:spacing w:before="20"/>
              <w:rPr>
                <w:bCs/>
                <w:iCs/>
                <w:sz w:val="22"/>
                <w:szCs w:val="22"/>
              </w:rPr>
            </w:pPr>
            <w:r w:rsidRPr="00137F8C">
              <w:rPr>
                <w:bCs/>
                <w:iCs/>
                <w:sz w:val="22"/>
                <w:szCs w:val="22"/>
              </w:rPr>
              <w:t>5</w:t>
            </w:r>
          </w:p>
        </w:tc>
        <w:tc>
          <w:tcPr>
            <w:tcW w:w="1285" w:type="pct"/>
          </w:tcPr>
          <w:p w14:paraId="5D207D43" w14:textId="77777777" w:rsidR="0061594B" w:rsidRPr="00137F8C" w:rsidRDefault="0061594B" w:rsidP="0061594B">
            <w:pPr>
              <w:spacing w:before="20"/>
              <w:rPr>
                <w:bCs/>
                <w:iCs/>
                <w:sz w:val="22"/>
                <w:szCs w:val="22"/>
              </w:rPr>
            </w:pPr>
            <w:r w:rsidRPr="00137F8C">
              <w:rPr>
                <w:b/>
                <w:iCs/>
                <w:sz w:val="22"/>
                <w:szCs w:val="22"/>
              </w:rPr>
              <w:t>Definovat</w:t>
            </w:r>
            <w:r w:rsidRPr="00137F8C">
              <w:rPr>
                <w:bCs/>
                <w:iCs/>
                <w:sz w:val="22"/>
                <w:szCs w:val="22"/>
              </w:rPr>
              <w:t xml:space="preserve"> důvod porovnání počtu přijímaných a počtu zapsaných studentů.</w:t>
            </w:r>
          </w:p>
        </w:tc>
        <w:tc>
          <w:tcPr>
            <w:tcW w:w="1702" w:type="pct"/>
          </w:tcPr>
          <w:p w14:paraId="4272490F" w14:textId="77777777" w:rsidR="0061594B" w:rsidRPr="00F85FF9" w:rsidRDefault="0061594B" w:rsidP="0061594B">
            <w:pPr>
              <w:spacing w:before="20"/>
              <w:rPr>
                <w:sz w:val="22"/>
                <w:szCs w:val="22"/>
              </w:rPr>
            </w:pPr>
            <w:proofErr w:type="gramStart"/>
            <w:r w:rsidRPr="00F85FF9">
              <w:rPr>
                <w:sz w:val="22"/>
                <w:szCs w:val="22"/>
              </w:rPr>
              <w:t>Zvýší</w:t>
            </w:r>
            <w:proofErr w:type="gramEnd"/>
            <w:r w:rsidRPr="00F85FF9">
              <w:rPr>
                <w:sz w:val="22"/>
                <w:szCs w:val="22"/>
              </w:rPr>
              <w:t xml:space="preserve"> administrativní zátěž, přičemž není jasný účel tohoto ustanovení.</w:t>
            </w:r>
          </w:p>
        </w:tc>
        <w:tc>
          <w:tcPr>
            <w:tcW w:w="649" w:type="pct"/>
          </w:tcPr>
          <w:p w14:paraId="3569967F" w14:textId="2CFE0B4A" w:rsidR="0061594B" w:rsidRPr="00F85FF9" w:rsidRDefault="00BF5C81" w:rsidP="0061594B">
            <w:pPr>
              <w:spacing w:before="20"/>
              <w:rPr>
                <w:sz w:val="22"/>
                <w:szCs w:val="22"/>
              </w:rPr>
            </w:pPr>
            <w:r w:rsidRPr="00F85FF9">
              <w:rPr>
                <w:b/>
                <w:bCs/>
                <w:sz w:val="22"/>
                <w:szCs w:val="22"/>
              </w:rPr>
              <w:t>Akceptováno.</w:t>
            </w:r>
            <w:r w:rsidRPr="00F85FF9">
              <w:rPr>
                <w:sz w:val="22"/>
                <w:szCs w:val="22"/>
              </w:rPr>
              <w:t xml:space="preserve"> Bude požadován pouze údaj o předpokládaném počtu zapsaných uchazečů.</w:t>
            </w:r>
          </w:p>
        </w:tc>
      </w:tr>
      <w:tr w:rsidR="0061594B" w:rsidRPr="00137F8C" w14:paraId="43AF8F75" w14:textId="77777777" w:rsidTr="13403F21">
        <w:trPr>
          <w:trHeight w:val="567"/>
        </w:trPr>
        <w:tc>
          <w:tcPr>
            <w:tcW w:w="174" w:type="pct"/>
          </w:tcPr>
          <w:p w14:paraId="7E397258" w14:textId="77777777" w:rsidR="0061594B" w:rsidRPr="00137F8C" w:rsidRDefault="0061594B" w:rsidP="0061594B">
            <w:pPr>
              <w:numPr>
                <w:ilvl w:val="0"/>
                <w:numId w:val="1"/>
              </w:numPr>
              <w:spacing w:before="20"/>
              <w:rPr>
                <w:b/>
                <w:sz w:val="22"/>
                <w:szCs w:val="22"/>
              </w:rPr>
            </w:pPr>
          </w:p>
        </w:tc>
        <w:tc>
          <w:tcPr>
            <w:tcW w:w="633" w:type="pct"/>
          </w:tcPr>
          <w:p w14:paraId="7CE48DF4" w14:textId="77777777" w:rsidR="0061594B" w:rsidRPr="00137F8C" w:rsidRDefault="0061594B" w:rsidP="0061594B">
            <w:pPr>
              <w:spacing w:before="20"/>
              <w:rPr>
                <w:bCs/>
                <w:iCs/>
                <w:sz w:val="22"/>
                <w:szCs w:val="22"/>
              </w:rPr>
            </w:pPr>
            <w:r w:rsidRPr="00137F8C">
              <w:rPr>
                <w:bCs/>
                <w:iCs/>
                <w:sz w:val="22"/>
                <w:szCs w:val="22"/>
              </w:rPr>
              <w:t>a</w:t>
            </w:r>
          </w:p>
          <w:p w14:paraId="6726D0BC" w14:textId="77777777" w:rsidR="0061594B" w:rsidRPr="00137F8C" w:rsidRDefault="0061594B" w:rsidP="0061594B">
            <w:pPr>
              <w:spacing w:before="20"/>
              <w:rPr>
                <w:bCs/>
                <w:iCs/>
                <w:sz w:val="22"/>
                <w:szCs w:val="22"/>
              </w:rPr>
            </w:pPr>
            <w:proofErr w:type="spellStart"/>
            <w:r w:rsidRPr="00137F8C">
              <w:rPr>
                <w:bCs/>
                <w:iCs/>
                <w:sz w:val="22"/>
                <w:szCs w:val="22"/>
              </w:rPr>
              <w:t>metod_a_SP</w:t>
            </w:r>
            <w:proofErr w:type="spellEnd"/>
            <w:r w:rsidRPr="00137F8C">
              <w:rPr>
                <w:bCs/>
                <w:iCs/>
                <w:sz w:val="22"/>
                <w:szCs w:val="22"/>
              </w:rPr>
              <w:t xml:space="preserve"> </w:t>
            </w:r>
            <w:proofErr w:type="spellStart"/>
            <w:r w:rsidRPr="00137F8C">
              <w:rPr>
                <w:bCs/>
                <w:iCs/>
                <w:sz w:val="22"/>
                <w:szCs w:val="22"/>
              </w:rPr>
              <w:t>Rev</w:t>
            </w:r>
            <w:proofErr w:type="spellEnd"/>
            <w:r w:rsidRPr="00137F8C">
              <w:rPr>
                <w:bCs/>
                <w:iCs/>
                <w:sz w:val="22"/>
                <w:szCs w:val="22"/>
              </w:rPr>
              <w:t>-informaci k </w:t>
            </w:r>
            <w:proofErr w:type="spellStart"/>
            <w:r w:rsidRPr="00137F8C">
              <w:rPr>
                <w:bCs/>
                <w:iCs/>
                <w:sz w:val="22"/>
                <w:szCs w:val="22"/>
              </w:rPr>
              <w:t>pril</w:t>
            </w:r>
            <w:proofErr w:type="spellEnd"/>
            <w:r w:rsidRPr="00137F8C">
              <w:rPr>
                <w:bCs/>
                <w:iCs/>
                <w:sz w:val="22"/>
                <w:szCs w:val="22"/>
              </w:rPr>
              <w:t xml:space="preserve"> A-D.docx</w:t>
            </w:r>
          </w:p>
          <w:p w14:paraId="5722A951" w14:textId="77777777" w:rsidR="0061594B" w:rsidRPr="00137F8C" w:rsidRDefault="0061594B" w:rsidP="0061594B">
            <w:pPr>
              <w:spacing w:before="20"/>
              <w:rPr>
                <w:bCs/>
                <w:iCs/>
                <w:sz w:val="22"/>
                <w:szCs w:val="22"/>
              </w:rPr>
            </w:pPr>
          </w:p>
        </w:tc>
        <w:tc>
          <w:tcPr>
            <w:tcW w:w="557" w:type="pct"/>
          </w:tcPr>
          <w:p w14:paraId="67C66D47" w14:textId="77777777" w:rsidR="0061594B" w:rsidRPr="00137F8C" w:rsidRDefault="0061594B" w:rsidP="0061594B">
            <w:pPr>
              <w:spacing w:before="20"/>
              <w:rPr>
                <w:bCs/>
                <w:iCs/>
                <w:sz w:val="22"/>
                <w:szCs w:val="22"/>
              </w:rPr>
            </w:pPr>
            <w:r w:rsidRPr="00137F8C">
              <w:rPr>
                <w:bCs/>
                <w:iCs/>
                <w:sz w:val="22"/>
                <w:szCs w:val="22"/>
              </w:rPr>
              <w:t>9</w:t>
            </w:r>
          </w:p>
        </w:tc>
        <w:tc>
          <w:tcPr>
            <w:tcW w:w="1285" w:type="pct"/>
          </w:tcPr>
          <w:p w14:paraId="425B295D" w14:textId="77777777" w:rsidR="0061594B" w:rsidRPr="00137F8C" w:rsidRDefault="0061594B" w:rsidP="0061594B">
            <w:pPr>
              <w:spacing w:before="20"/>
              <w:rPr>
                <w:bCs/>
                <w:iCs/>
                <w:sz w:val="22"/>
                <w:szCs w:val="22"/>
              </w:rPr>
            </w:pPr>
            <w:r w:rsidRPr="00137F8C">
              <w:rPr>
                <w:b/>
                <w:iCs/>
                <w:sz w:val="22"/>
                <w:szCs w:val="22"/>
              </w:rPr>
              <w:t xml:space="preserve">Ponechat </w:t>
            </w:r>
            <w:r w:rsidRPr="00137F8C">
              <w:rPr>
                <w:bCs/>
                <w:iCs/>
                <w:sz w:val="22"/>
                <w:szCs w:val="22"/>
              </w:rPr>
              <w:t>stávající počet obhájených disertačních prací (5) při prodloužení akreditace.</w:t>
            </w:r>
          </w:p>
        </w:tc>
        <w:tc>
          <w:tcPr>
            <w:tcW w:w="1702" w:type="pct"/>
          </w:tcPr>
          <w:p w14:paraId="3E4EB631" w14:textId="77777777" w:rsidR="0061594B" w:rsidRPr="00137F8C" w:rsidRDefault="0061594B" w:rsidP="0061594B">
            <w:pPr>
              <w:spacing w:before="20"/>
              <w:rPr>
                <w:sz w:val="22"/>
                <w:szCs w:val="22"/>
              </w:rPr>
            </w:pPr>
            <w:r w:rsidRPr="00137F8C">
              <w:rPr>
                <w:bCs/>
                <w:iCs/>
                <w:sz w:val="22"/>
                <w:szCs w:val="22"/>
              </w:rPr>
              <w:t xml:space="preserve">Navýšení počtu obhájených disertačních prací při prodloužení akreditace nezohledňuje udělení akreditace na dobu 5 let, kdy může dojít k tomu, že v době přípravy žádosti nebude s ohledem na dobu studia daného programu možné tento požadavek naplnit. </w:t>
            </w:r>
          </w:p>
        </w:tc>
        <w:tc>
          <w:tcPr>
            <w:tcW w:w="649" w:type="pct"/>
          </w:tcPr>
          <w:p w14:paraId="6CB054BC" w14:textId="283B5D13" w:rsidR="0061594B" w:rsidRPr="00137F8C" w:rsidRDefault="00C412C2" w:rsidP="0061594B">
            <w:pPr>
              <w:spacing w:before="20"/>
              <w:rPr>
                <w:sz w:val="22"/>
                <w:szCs w:val="22"/>
              </w:rPr>
            </w:pPr>
            <w:r w:rsidRPr="34F5C39D">
              <w:rPr>
                <w:b/>
                <w:bCs/>
                <w:sz w:val="22"/>
                <w:szCs w:val="22"/>
              </w:rPr>
              <w:t>Akceptováno částečně</w:t>
            </w:r>
            <w:r w:rsidRPr="34F5C39D">
              <w:rPr>
                <w:sz w:val="22"/>
                <w:szCs w:val="22"/>
              </w:rPr>
              <w:t>. S ohledem na různorodost doktorských studijních programů bude formulace upravena na “</w:t>
            </w:r>
            <w:r w:rsidRPr="00F85FF9">
              <w:rPr>
                <w:sz w:val="22"/>
                <w:szCs w:val="22"/>
              </w:rPr>
              <w:t>U prodloužení platnosti akreditace se uvádí všechny obhájené disertační práce za posledních 5 let …"</w:t>
            </w:r>
          </w:p>
        </w:tc>
      </w:tr>
      <w:tr w:rsidR="0061594B" w:rsidRPr="00137F8C" w14:paraId="77204BF2" w14:textId="77777777" w:rsidTr="13403F21">
        <w:trPr>
          <w:trHeight w:val="567"/>
        </w:trPr>
        <w:tc>
          <w:tcPr>
            <w:tcW w:w="174" w:type="pct"/>
          </w:tcPr>
          <w:p w14:paraId="411F495B" w14:textId="77777777" w:rsidR="0061594B" w:rsidRPr="00137F8C" w:rsidRDefault="0061594B" w:rsidP="0061594B">
            <w:pPr>
              <w:numPr>
                <w:ilvl w:val="0"/>
                <w:numId w:val="1"/>
              </w:numPr>
              <w:spacing w:before="20"/>
              <w:rPr>
                <w:b/>
                <w:sz w:val="22"/>
                <w:szCs w:val="22"/>
              </w:rPr>
            </w:pPr>
          </w:p>
        </w:tc>
        <w:tc>
          <w:tcPr>
            <w:tcW w:w="633" w:type="pct"/>
          </w:tcPr>
          <w:p w14:paraId="684DF755" w14:textId="77777777" w:rsidR="0061594B" w:rsidRPr="00137F8C" w:rsidRDefault="0061594B" w:rsidP="0061594B">
            <w:pPr>
              <w:spacing w:before="20"/>
              <w:rPr>
                <w:sz w:val="22"/>
                <w:szCs w:val="22"/>
              </w:rPr>
            </w:pPr>
            <w:r w:rsidRPr="00137F8C">
              <w:rPr>
                <w:sz w:val="22"/>
                <w:szCs w:val="22"/>
              </w:rPr>
              <w:t>a</w:t>
            </w:r>
          </w:p>
          <w:p w14:paraId="12165877" w14:textId="77777777" w:rsidR="0061594B" w:rsidRPr="00137F8C" w:rsidRDefault="0061594B" w:rsidP="0061594B">
            <w:pPr>
              <w:spacing w:before="20"/>
              <w:rPr>
                <w:bCs/>
                <w:iCs/>
                <w:sz w:val="22"/>
                <w:szCs w:val="22"/>
              </w:rPr>
            </w:pPr>
            <w:proofErr w:type="spellStart"/>
            <w:r w:rsidRPr="00137F8C">
              <w:rPr>
                <w:bCs/>
                <w:iCs/>
                <w:sz w:val="22"/>
                <w:szCs w:val="22"/>
              </w:rPr>
              <w:t>metod_a_SP</w:t>
            </w:r>
            <w:proofErr w:type="spellEnd"/>
            <w:r w:rsidRPr="00137F8C">
              <w:rPr>
                <w:bCs/>
                <w:iCs/>
                <w:sz w:val="22"/>
                <w:szCs w:val="22"/>
              </w:rPr>
              <w:t xml:space="preserve"> </w:t>
            </w:r>
            <w:proofErr w:type="spellStart"/>
            <w:r w:rsidRPr="00137F8C">
              <w:rPr>
                <w:bCs/>
                <w:iCs/>
                <w:sz w:val="22"/>
                <w:szCs w:val="22"/>
              </w:rPr>
              <w:t>Rev</w:t>
            </w:r>
            <w:proofErr w:type="spellEnd"/>
            <w:r w:rsidRPr="00137F8C">
              <w:rPr>
                <w:bCs/>
                <w:iCs/>
                <w:sz w:val="22"/>
                <w:szCs w:val="22"/>
              </w:rPr>
              <w:t>-informaci k </w:t>
            </w:r>
            <w:proofErr w:type="spellStart"/>
            <w:r w:rsidRPr="00137F8C">
              <w:rPr>
                <w:bCs/>
                <w:iCs/>
                <w:sz w:val="22"/>
                <w:szCs w:val="22"/>
              </w:rPr>
              <w:t>pril</w:t>
            </w:r>
            <w:proofErr w:type="spellEnd"/>
            <w:r w:rsidRPr="00137F8C">
              <w:rPr>
                <w:bCs/>
                <w:iCs/>
                <w:sz w:val="22"/>
                <w:szCs w:val="22"/>
              </w:rPr>
              <w:t xml:space="preserve"> A-D.docx</w:t>
            </w:r>
          </w:p>
          <w:p w14:paraId="7E4C85DF" w14:textId="77777777" w:rsidR="0061594B" w:rsidRPr="00137F8C" w:rsidRDefault="0061594B" w:rsidP="0061594B">
            <w:pPr>
              <w:spacing w:before="20"/>
              <w:rPr>
                <w:sz w:val="22"/>
                <w:szCs w:val="22"/>
              </w:rPr>
            </w:pPr>
          </w:p>
        </w:tc>
        <w:tc>
          <w:tcPr>
            <w:tcW w:w="557" w:type="pct"/>
          </w:tcPr>
          <w:p w14:paraId="58B8C880" w14:textId="77777777" w:rsidR="0061594B" w:rsidRPr="00137F8C" w:rsidRDefault="0061594B" w:rsidP="0061594B">
            <w:pPr>
              <w:spacing w:before="20"/>
              <w:rPr>
                <w:sz w:val="22"/>
                <w:szCs w:val="22"/>
              </w:rPr>
            </w:pPr>
            <w:r w:rsidRPr="00137F8C">
              <w:rPr>
                <w:sz w:val="22"/>
                <w:szCs w:val="22"/>
              </w:rPr>
              <w:t>18</w:t>
            </w:r>
          </w:p>
        </w:tc>
        <w:tc>
          <w:tcPr>
            <w:tcW w:w="1285" w:type="pct"/>
          </w:tcPr>
          <w:p w14:paraId="43F0C685" w14:textId="77777777" w:rsidR="0061594B" w:rsidRPr="00137F8C" w:rsidRDefault="0061594B" w:rsidP="0061594B">
            <w:pPr>
              <w:pStyle w:val="Zkladntext"/>
              <w:ind w:left="0" w:right="239"/>
              <w:rPr>
                <w:sz w:val="22"/>
                <w:szCs w:val="22"/>
              </w:rPr>
            </w:pPr>
            <w:r w:rsidRPr="00137F8C">
              <w:rPr>
                <w:sz w:val="22"/>
                <w:szCs w:val="22"/>
              </w:rPr>
              <w:t xml:space="preserve">U bodu </w:t>
            </w:r>
            <w:r w:rsidRPr="00137F8C">
              <w:rPr>
                <w:sz w:val="22"/>
                <w:szCs w:val="22"/>
                <w:u w:val="single"/>
              </w:rPr>
              <w:t>Zdroj</w:t>
            </w:r>
            <w:r w:rsidRPr="00137F8C">
              <w:rPr>
                <w:sz w:val="22"/>
                <w:szCs w:val="22"/>
              </w:rPr>
              <w:t xml:space="preserve"> </w:t>
            </w:r>
            <w:r w:rsidRPr="00137F8C">
              <w:rPr>
                <w:b/>
                <w:bCs/>
                <w:sz w:val="22"/>
                <w:szCs w:val="22"/>
              </w:rPr>
              <w:t>vypustit</w:t>
            </w:r>
            <w:r w:rsidRPr="00137F8C">
              <w:rPr>
                <w:sz w:val="22"/>
                <w:szCs w:val="22"/>
              </w:rPr>
              <w:t xml:space="preserve"> závorku u D.</w:t>
            </w:r>
          </w:p>
          <w:p w14:paraId="06FCA500" w14:textId="77777777" w:rsidR="0061594B" w:rsidRPr="00137F8C" w:rsidRDefault="0061594B" w:rsidP="0061594B">
            <w:pPr>
              <w:pStyle w:val="Zkladntext"/>
              <w:ind w:left="0" w:right="239"/>
              <w:rPr>
                <w:sz w:val="22"/>
                <w:szCs w:val="22"/>
              </w:rPr>
            </w:pPr>
            <w:r w:rsidRPr="00137F8C">
              <w:t>„Zdroj U grantů se uvádí: A=mezinárodní a zahraniční granty, B=granty GAČR, TAČR nebo jiné odpovídající grantové agentury (nikoli interní), C=</w:t>
            </w:r>
            <w:proofErr w:type="gramStart"/>
            <w:r w:rsidRPr="00137F8C">
              <w:t>rezortní</w:t>
            </w:r>
            <w:proofErr w:type="gramEnd"/>
            <w:r w:rsidRPr="00137F8C">
              <w:t xml:space="preserve"> ministerské granty, D=projekty aplikovaného a smluvního výzkumu (u profesně zaměřených studijních programů); dále uvést název instituce nebo právnické osoby, </w:t>
            </w:r>
            <w:r w:rsidRPr="00137F8C">
              <w:lastRenderedPageBreak/>
              <w:t>která výzkumný projekt financovala.“</w:t>
            </w:r>
          </w:p>
        </w:tc>
        <w:tc>
          <w:tcPr>
            <w:tcW w:w="1702" w:type="pct"/>
          </w:tcPr>
          <w:p w14:paraId="2552ABD2" w14:textId="77777777" w:rsidR="0061594B" w:rsidRPr="00137F8C" w:rsidRDefault="0061594B" w:rsidP="0061594B">
            <w:pPr>
              <w:spacing w:before="20"/>
              <w:rPr>
                <w:sz w:val="22"/>
                <w:szCs w:val="22"/>
              </w:rPr>
            </w:pPr>
            <w:r w:rsidRPr="00137F8C">
              <w:rPr>
                <w:sz w:val="22"/>
                <w:szCs w:val="22"/>
              </w:rPr>
              <w:lastRenderedPageBreak/>
              <w:t>Aplikovaný a smluvní výzkum je relevantní i u akademických studijních programů.</w:t>
            </w:r>
          </w:p>
        </w:tc>
        <w:tc>
          <w:tcPr>
            <w:tcW w:w="649" w:type="pct"/>
          </w:tcPr>
          <w:p w14:paraId="6F966151" w14:textId="6A923AA2" w:rsidR="0061594B" w:rsidRPr="00137F8C" w:rsidRDefault="000075FE" w:rsidP="0061594B">
            <w:pPr>
              <w:spacing w:before="20"/>
              <w:rPr>
                <w:sz w:val="22"/>
                <w:szCs w:val="22"/>
              </w:rPr>
            </w:pPr>
            <w:r>
              <w:rPr>
                <w:b/>
                <w:bCs/>
                <w:sz w:val="22"/>
                <w:szCs w:val="22"/>
              </w:rPr>
              <w:t>Neakceptováno</w:t>
            </w:r>
            <w:r w:rsidRPr="34F5C39D">
              <w:rPr>
                <w:b/>
                <w:bCs/>
                <w:sz w:val="22"/>
                <w:szCs w:val="22"/>
              </w:rPr>
              <w:t>.</w:t>
            </w:r>
            <w:r w:rsidRPr="34F5C39D">
              <w:rPr>
                <w:sz w:val="22"/>
                <w:szCs w:val="22"/>
              </w:rPr>
              <w:t xml:space="preserve"> Zahrnutí projektů typu D do přehledové tabulky v příloze C-II u profesně zaměřených studijních programů je navázáno na standardy pro akreditace profesně </w:t>
            </w:r>
            <w:r w:rsidRPr="34F5C39D">
              <w:rPr>
                <w:sz w:val="22"/>
                <w:szCs w:val="22"/>
              </w:rPr>
              <w:lastRenderedPageBreak/>
              <w:t xml:space="preserve">zaměřených studijních programů. U akademicky zaměřených studijních programů je možné tyto činnosti uvádět do části </w:t>
            </w:r>
            <w:r w:rsidRPr="34F5C39D">
              <w:rPr>
                <w:i/>
                <w:iCs/>
                <w:sz w:val="22"/>
                <w:szCs w:val="22"/>
              </w:rPr>
              <w:t>Odborné aktivity vztahující se k tvůrčí, resp. vědecké a umělecké činnosti vysoké školy, která souvisí se studijním programem.</w:t>
            </w:r>
          </w:p>
        </w:tc>
      </w:tr>
      <w:tr w:rsidR="0061594B" w:rsidRPr="00137F8C" w14:paraId="6764CCA7" w14:textId="77777777" w:rsidTr="13403F21">
        <w:trPr>
          <w:trHeight w:val="567"/>
        </w:trPr>
        <w:tc>
          <w:tcPr>
            <w:tcW w:w="174" w:type="pct"/>
          </w:tcPr>
          <w:p w14:paraId="2D0E75EE" w14:textId="77777777" w:rsidR="0061594B" w:rsidRPr="00137F8C" w:rsidRDefault="0061594B" w:rsidP="0061594B">
            <w:pPr>
              <w:numPr>
                <w:ilvl w:val="0"/>
                <w:numId w:val="1"/>
              </w:numPr>
              <w:spacing w:before="20"/>
              <w:rPr>
                <w:b/>
                <w:sz w:val="22"/>
                <w:szCs w:val="22"/>
              </w:rPr>
            </w:pPr>
          </w:p>
        </w:tc>
        <w:tc>
          <w:tcPr>
            <w:tcW w:w="633" w:type="pct"/>
          </w:tcPr>
          <w:p w14:paraId="1ECEFE69" w14:textId="77777777" w:rsidR="0061594B" w:rsidRPr="00137F8C" w:rsidRDefault="0061594B" w:rsidP="0061594B">
            <w:pPr>
              <w:spacing w:before="20"/>
              <w:rPr>
                <w:sz w:val="22"/>
                <w:szCs w:val="22"/>
              </w:rPr>
            </w:pPr>
            <w:r w:rsidRPr="00137F8C">
              <w:rPr>
                <w:sz w:val="22"/>
                <w:szCs w:val="22"/>
              </w:rPr>
              <w:t>a</w:t>
            </w:r>
          </w:p>
          <w:p w14:paraId="0602B88C" w14:textId="77777777" w:rsidR="0061594B" w:rsidRPr="00137F8C" w:rsidRDefault="0061594B" w:rsidP="0061594B">
            <w:pPr>
              <w:spacing w:before="20"/>
              <w:rPr>
                <w:sz w:val="22"/>
                <w:szCs w:val="22"/>
              </w:rPr>
            </w:pPr>
            <w:proofErr w:type="spellStart"/>
            <w:r w:rsidRPr="00137F8C">
              <w:rPr>
                <w:sz w:val="22"/>
                <w:szCs w:val="22"/>
              </w:rPr>
              <w:t>metod_a_SP</w:t>
            </w:r>
            <w:proofErr w:type="spellEnd"/>
            <w:r w:rsidRPr="00137F8C">
              <w:rPr>
                <w:sz w:val="22"/>
                <w:szCs w:val="22"/>
              </w:rPr>
              <w:t xml:space="preserve"> </w:t>
            </w:r>
            <w:proofErr w:type="spellStart"/>
            <w:r w:rsidRPr="00137F8C">
              <w:rPr>
                <w:sz w:val="22"/>
                <w:szCs w:val="22"/>
              </w:rPr>
              <w:t>Rev</w:t>
            </w:r>
            <w:proofErr w:type="spellEnd"/>
            <w:r w:rsidRPr="00137F8C">
              <w:rPr>
                <w:sz w:val="22"/>
                <w:szCs w:val="22"/>
              </w:rPr>
              <w:t xml:space="preserve">-podklad </w:t>
            </w:r>
            <w:proofErr w:type="spellStart"/>
            <w:r w:rsidRPr="00137F8C">
              <w:rPr>
                <w:sz w:val="22"/>
                <w:szCs w:val="22"/>
              </w:rPr>
              <w:t>pril</w:t>
            </w:r>
            <w:proofErr w:type="spellEnd"/>
            <w:r w:rsidRPr="00137F8C">
              <w:rPr>
                <w:sz w:val="22"/>
                <w:szCs w:val="22"/>
              </w:rPr>
              <w:t xml:space="preserve"> E.docx</w:t>
            </w:r>
          </w:p>
        </w:tc>
        <w:tc>
          <w:tcPr>
            <w:tcW w:w="557" w:type="pct"/>
          </w:tcPr>
          <w:p w14:paraId="316E8164" w14:textId="77777777" w:rsidR="0061594B" w:rsidRPr="00137F8C" w:rsidRDefault="0061594B" w:rsidP="0061594B">
            <w:pPr>
              <w:spacing w:before="20"/>
              <w:rPr>
                <w:sz w:val="22"/>
                <w:szCs w:val="22"/>
              </w:rPr>
            </w:pPr>
            <w:r w:rsidRPr="00137F8C">
              <w:rPr>
                <w:sz w:val="22"/>
                <w:szCs w:val="22"/>
              </w:rPr>
              <w:t>1</w:t>
            </w:r>
          </w:p>
        </w:tc>
        <w:tc>
          <w:tcPr>
            <w:tcW w:w="1285" w:type="pct"/>
          </w:tcPr>
          <w:p w14:paraId="7766AB72" w14:textId="77777777" w:rsidR="0061594B" w:rsidRPr="00137F8C" w:rsidRDefault="0061594B" w:rsidP="0061594B">
            <w:pPr>
              <w:spacing w:before="20"/>
              <w:rPr>
                <w:sz w:val="22"/>
                <w:szCs w:val="22"/>
              </w:rPr>
            </w:pPr>
            <w:r w:rsidRPr="00137F8C">
              <w:rPr>
                <w:b/>
                <w:bCs/>
                <w:sz w:val="22"/>
                <w:szCs w:val="22"/>
              </w:rPr>
              <w:t>Požadujeme zachovat stávající znění</w:t>
            </w:r>
            <w:r w:rsidRPr="00137F8C">
              <w:rPr>
                <w:sz w:val="22"/>
                <w:szCs w:val="22"/>
              </w:rPr>
              <w:t>: „</w:t>
            </w:r>
            <w:r w:rsidRPr="00137F8C">
              <w:t xml:space="preserve">Pokud Zpráva o vnitřním hodnocení a poslední dodatek k této zprávě již byly posouzeny a od posledního posouzení obecných požadavků pro akreditace neuplynulo více než 12 měsíců, nebude se v souladu s čl. 33 Statutu NAÚ hodnoticí komise činností vysoké školy ve vztahu k části standardů pro akreditaci studijního programu podle § 78a odst. 2 písm. b) body 2 a 3 zákona o vysokých školách ani funkčností systému zajišťování kvality a vnitřního hodnocení kvality vzdělávací, tvůrčí a s nimi souvisejících činností zabývat (ledaže by o to vysoká škola požádala) a není </w:t>
            </w:r>
            <w:r w:rsidRPr="00137F8C">
              <w:lastRenderedPageBreak/>
              <w:t>tedy nutno část I. zahrnout do hodnotící zprávy“</w:t>
            </w:r>
          </w:p>
          <w:p w14:paraId="38CC379D" w14:textId="77777777" w:rsidR="0061594B" w:rsidRPr="00137F8C" w:rsidRDefault="0061594B" w:rsidP="0061594B">
            <w:pPr>
              <w:spacing w:before="20"/>
              <w:rPr>
                <w:sz w:val="22"/>
                <w:szCs w:val="22"/>
              </w:rPr>
            </w:pPr>
          </w:p>
        </w:tc>
        <w:tc>
          <w:tcPr>
            <w:tcW w:w="1702" w:type="pct"/>
          </w:tcPr>
          <w:p w14:paraId="0D7E5DFA" w14:textId="77777777" w:rsidR="0061594B" w:rsidRPr="00137F8C" w:rsidRDefault="0061594B" w:rsidP="0061594B">
            <w:pPr>
              <w:spacing w:before="20"/>
              <w:rPr>
                <w:sz w:val="22"/>
                <w:szCs w:val="22"/>
              </w:rPr>
            </w:pPr>
            <w:r w:rsidRPr="00137F8C">
              <w:rPr>
                <w:sz w:val="22"/>
                <w:szCs w:val="22"/>
              </w:rPr>
              <w:lastRenderedPageBreak/>
              <w:t>Odstraněním textu bodu I. Instituce dojde k tomu, že bude nutné nově hodnotit Instituci při každém podání akreditace. Toto může významně prodloužit akreditační proces.</w:t>
            </w:r>
          </w:p>
          <w:p w14:paraId="43E7EE6D" w14:textId="77777777" w:rsidR="0061594B" w:rsidRPr="00137F8C" w:rsidRDefault="0061594B" w:rsidP="0061594B">
            <w:pPr>
              <w:spacing w:before="20"/>
              <w:rPr>
                <w:sz w:val="22"/>
                <w:szCs w:val="22"/>
              </w:rPr>
            </w:pPr>
          </w:p>
        </w:tc>
        <w:tc>
          <w:tcPr>
            <w:tcW w:w="649" w:type="pct"/>
          </w:tcPr>
          <w:p w14:paraId="33B2A4B0" w14:textId="4E5DCBC9" w:rsidR="0061594B" w:rsidRPr="00137F8C" w:rsidRDefault="346A85EB" w:rsidP="0061594B">
            <w:pPr>
              <w:spacing w:before="20"/>
              <w:rPr>
                <w:sz w:val="22"/>
                <w:szCs w:val="22"/>
              </w:rPr>
            </w:pPr>
            <w:r w:rsidRPr="13403F21">
              <w:rPr>
                <w:b/>
                <w:bCs/>
                <w:sz w:val="22"/>
                <w:szCs w:val="22"/>
              </w:rPr>
              <w:t xml:space="preserve">Akceptováno částečně. </w:t>
            </w:r>
            <w:r w:rsidRPr="13403F21">
              <w:rPr>
                <w:sz w:val="22"/>
                <w:szCs w:val="22"/>
              </w:rPr>
              <w:t>Část 1 osnovy sebehodnot</w:t>
            </w:r>
            <w:r w:rsidR="4E104C0B" w:rsidRPr="13403F21">
              <w:rPr>
                <w:sz w:val="22"/>
                <w:szCs w:val="22"/>
              </w:rPr>
              <w:t>í</w:t>
            </w:r>
            <w:r w:rsidRPr="13403F21">
              <w:rPr>
                <w:sz w:val="22"/>
                <w:szCs w:val="22"/>
              </w:rPr>
              <w:t>cí zprávy pokrývá část standardů pro akreditace (</w:t>
            </w:r>
            <w:r w:rsidRPr="13403F21">
              <w:rPr>
                <w:i/>
                <w:iCs/>
                <w:sz w:val="22"/>
                <w:szCs w:val="22"/>
              </w:rPr>
              <w:t>Požadavky na institucionální prostředí</w:t>
            </w:r>
            <w:r w:rsidRPr="13403F21">
              <w:rPr>
                <w:sz w:val="22"/>
                <w:szCs w:val="22"/>
              </w:rPr>
              <w:t xml:space="preserve">), které platí pro všechny studijní programy. Úprava metodických materiálů navazuje na zrušení čl. 33 Statutu NAÚ jeho prosincovou novelou. </w:t>
            </w:r>
            <w:r w:rsidRPr="00F85FF9">
              <w:rPr>
                <w:sz w:val="22"/>
                <w:szCs w:val="22"/>
              </w:rPr>
              <w:t xml:space="preserve">Do osnovy </w:t>
            </w:r>
            <w:r w:rsidRPr="00F85FF9">
              <w:rPr>
                <w:sz w:val="22"/>
                <w:szCs w:val="22"/>
              </w:rPr>
              <w:lastRenderedPageBreak/>
              <w:t>sebehodnot</w:t>
            </w:r>
            <w:r w:rsidR="63C23E4D" w:rsidRPr="00F85FF9">
              <w:rPr>
                <w:sz w:val="22"/>
                <w:szCs w:val="22"/>
              </w:rPr>
              <w:t>í</w:t>
            </w:r>
            <w:r w:rsidRPr="00F85FF9">
              <w:rPr>
                <w:sz w:val="22"/>
                <w:szCs w:val="22"/>
              </w:rPr>
              <w:t xml:space="preserve">cí zprávy bude doplněno, že v případě udělené institucionální akreditace postačuje odkázat na posouzení institucionálního prostředí při jejím udělení a že v případě absence institucionální akreditace </w:t>
            </w:r>
            <w:proofErr w:type="gramStart"/>
            <w:r w:rsidRPr="00F85FF9">
              <w:rPr>
                <w:sz w:val="22"/>
                <w:szCs w:val="22"/>
              </w:rPr>
              <w:t>postačí</w:t>
            </w:r>
            <w:proofErr w:type="gramEnd"/>
            <w:r w:rsidRPr="00F85FF9">
              <w:rPr>
                <w:sz w:val="22"/>
                <w:szCs w:val="22"/>
              </w:rPr>
              <w:t xml:space="preserve"> namísto opětovného předkládání části 1 osnovy odkázat na předchozí případ, v jehož rámci byla NAÚ předložena.</w:t>
            </w:r>
          </w:p>
        </w:tc>
      </w:tr>
      <w:tr w:rsidR="0061594B" w:rsidRPr="00137F8C" w14:paraId="4D4D35C1" w14:textId="77777777" w:rsidTr="13403F21">
        <w:trPr>
          <w:trHeight w:val="567"/>
        </w:trPr>
        <w:tc>
          <w:tcPr>
            <w:tcW w:w="174" w:type="pct"/>
          </w:tcPr>
          <w:p w14:paraId="210BFEE8" w14:textId="77777777" w:rsidR="0061594B" w:rsidRPr="00137F8C" w:rsidRDefault="0061594B" w:rsidP="0061594B">
            <w:pPr>
              <w:numPr>
                <w:ilvl w:val="0"/>
                <w:numId w:val="1"/>
              </w:numPr>
              <w:spacing w:before="20"/>
              <w:rPr>
                <w:b/>
                <w:sz w:val="22"/>
                <w:szCs w:val="22"/>
              </w:rPr>
            </w:pPr>
          </w:p>
        </w:tc>
        <w:tc>
          <w:tcPr>
            <w:tcW w:w="633" w:type="pct"/>
          </w:tcPr>
          <w:p w14:paraId="643ED4C2" w14:textId="77777777" w:rsidR="0061594B" w:rsidRPr="00137F8C" w:rsidRDefault="0061594B" w:rsidP="0061594B">
            <w:pPr>
              <w:spacing w:before="20"/>
              <w:rPr>
                <w:sz w:val="22"/>
                <w:szCs w:val="22"/>
              </w:rPr>
            </w:pPr>
            <w:r w:rsidRPr="00137F8C">
              <w:rPr>
                <w:sz w:val="22"/>
                <w:szCs w:val="22"/>
              </w:rPr>
              <w:t>e</w:t>
            </w:r>
          </w:p>
        </w:tc>
        <w:tc>
          <w:tcPr>
            <w:tcW w:w="557" w:type="pct"/>
          </w:tcPr>
          <w:p w14:paraId="59750572" w14:textId="77777777" w:rsidR="0061594B" w:rsidRPr="00137F8C" w:rsidRDefault="0061594B" w:rsidP="0061594B">
            <w:pPr>
              <w:spacing w:before="20"/>
              <w:rPr>
                <w:sz w:val="22"/>
                <w:szCs w:val="22"/>
              </w:rPr>
            </w:pPr>
            <w:r w:rsidRPr="00137F8C">
              <w:rPr>
                <w:sz w:val="22"/>
                <w:szCs w:val="22"/>
              </w:rPr>
              <w:t>3, 3. </w:t>
            </w:r>
            <w:proofErr w:type="spellStart"/>
            <w:r w:rsidRPr="00137F8C">
              <w:rPr>
                <w:sz w:val="22"/>
                <w:szCs w:val="22"/>
              </w:rPr>
              <w:t>odst</w:t>
            </w:r>
            <w:proofErr w:type="spellEnd"/>
          </w:p>
        </w:tc>
        <w:tc>
          <w:tcPr>
            <w:tcW w:w="1285" w:type="pct"/>
          </w:tcPr>
          <w:p w14:paraId="795EC0A0" w14:textId="77777777" w:rsidR="0061594B" w:rsidRPr="00137F8C" w:rsidRDefault="0061594B" w:rsidP="0061594B">
            <w:pPr>
              <w:spacing w:before="20"/>
              <w:rPr>
                <w:strike/>
                <w:sz w:val="22"/>
                <w:szCs w:val="22"/>
              </w:rPr>
            </w:pPr>
            <w:r w:rsidRPr="00137F8C">
              <w:rPr>
                <w:sz w:val="22"/>
                <w:szCs w:val="22"/>
              </w:rPr>
              <w:t xml:space="preserve">3.1 … v případě habilitačního řízení </w:t>
            </w:r>
            <w:r w:rsidRPr="00137F8C">
              <w:rPr>
                <w:b/>
                <w:strike/>
                <w:sz w:val="22"/>
                <w:szCs w:val="22"/>
              </w:rPr>
              <w:t>minimálně</w:t>
            </w:r>
            <w:r w:rsidRPr="00137F8C">
              <w:rPr>
                <w:b/>
                <w:sz w:val="22"/>
                <w:szCs w:val="22"/>
              </w:rPr>
              <w:t xml:space="preserve"> </w:t>
            </w:r>
            <w:r w:rsidRPr="00137F8C">
              <w:rPr>
                <w:sz w:val="22"/>
                <w:szCs w:val="22"/>
              </w:rPr>
              <w:t>dvěma habilitovanými akademickými pracovníky</w:t>
            </w:r>
          </w:p>
        </w:tc>
        <w:tc>
          <w:tcPr>
            <w:tcW w:w="1702" w:type="pct"/>
          </w:tcPr>
          <w:p w14:paraId="4310AEA3" w14:textId="77777777" w:rsidR="0061594B" w:rsidRPr="00137F8C" w:rsidRDefault="0061594B" w:rsidP="0061594B">
            <w:pPr>
              <w:spacing w:before="20"/>
              <w:rPr>
                <w:bCs/>
                <w:sz w:val="22"/>
                <w:szCs w:val="22"/>
              </w:rPr>
            </w:pPr>
            <w:r w:rsidRPr="00137F8C">
              <w:rPr>
                <w:bCs/>
                <w:sz w:val="22"/>
                <w:szCs w:val="22"/>
              </w:rPr>
              <w:t xml:space="preserve">zachování konzistence viz str. 4 materiálu </w:t>
            </w:r>
            <w:r w:rsidRPr="00137F8C">
              <w:rPr>
                <w:b/>
                <w:bCs/>
                <w:sz w:val="22"/>
                <w:szCs w:val="22"/>
              </w:rPr>
              <w:t xml:space="preserve">(d) </w:t>
            </w:r>
            <w:r w:rsidRPr="00137F8C">
              <w:rPr>
                <w:bCs/>
                <w:sz w:val="22"/>
                <w:szCs w:val="22"/>
              </w:rPr>
              <w:t>poslední odstavec (slovo alespoň je navrženo k odstranění)</w:t>
            </w:r>
          </w:p>
        </w:tc>
        <w:tc>
          <w:tcPr>
            <w:tcW w:w="649" w:type="pct"/>
          </w:tcPr>
          <w:p w14:paraId="72088E6F" w14:textId="592B0417" w:rsidR="0061594B" w:rsidRPr="00137F8C" w:rsidRDefault="00B82578" w:rsidP="0061594B">
            <w:pPr>
              <w:spacing w:before="20"/>
              <w:rPr>
                <w:sz w:val="22"/>
                <w:szCs w:val="22"/>
              </w:rPr>
            </w:pPr>
            <w:r>
              <w:rPr>
                <w:b/>
                <w:bCs/>
                <w:sz w:val="22"/>
                <w:szCs w:val="22"/>
              </w:rPr>
              <w:t>Nea</w:t>
            </w:r>
            <w:r w:rsidRPr="36FD9F9C">
              <w:rPr>
                <w:b/>
                <w:bCs/>
                <w:sz w:val="22"/>
                <w:szCs w:val="22"/>
              </w:rPr>
              <w:t>kceptováno.</w:t>
            </w:r>
            <w:r w:rsidRPr="36FD9F9C">
              <w:rPr>
                <w:sz w:val="22"/>
                <w:szCs w:val="22"/>
              </w:rPr>
              <w:t xml:space="preserve"> </w:t>
            </w:r>
            <w:r w:rsidRPr="00964448">
              <w:rPr>
                <w:sz w:val="22"/>
                <w:szCs w:val="22"/>
              </w:rPr>
              <w:t xml:space="preserve">Viz připomínka </w:t>
            </w:r>
            <w:r w:rsidR="00F96812">
              <w:rPr>
                <w:sz w:val="22"/>
                <w:szCs w:val="22"/>
              </w:rPr>
              <w:t xml:space="preserve">ČKR </w:t>
            </w:r>
            <w:r w:rsidRPr="00964448">
              <w:rPr>
                <w:sz w:val="22"/>
                <w:szCs w:val="22"/>
              </w:rPr>
              <w:t>č. 154</w:t>
            </w:r>
            <w:r>
              <w:rPr>
                <w:sz w:val="22"/>
                <w:szCs w:val="22"/>
              </w:rPr>
              <w:t xml:space="preserve"> </w:t>
            </w:r>
          </w:p>
        </w:tc>
      </w:tr>
      <w:tr w:rsidR="0061594B" w:rsidRPr="00137F8C" w14:paraId="051CFBCA" w14:textId="77777777" w:rsidTr="13403F21">
        <w:trPr>
          <w:trHeight w:val="567"/>
        </w:trPr>
        <w:tc>
          <w:tcPr>
            <w:tcW w:w="174" w:type="pct"/>
          </w:tcPr>
          <w:p w14:paraId="261409A7" w14:textId="77777777" w:rsidR="0061594B" w:rsidRPr="00137F8C" w:rsidRDefault="0061594B" w:rsidP="0061594B">
            <w:pPr>
              <w:numPr>
                <w:ilvl w:val="0"/>
                <w:numId w:val="1"/>
              </w:numPr>
              <w:spacing w:before="20"/>
              <w:rPr>
                <w:b/>
                <w:sz w:val="22"/>
                <w:szCs w:val="22"/>
              </w:rPr>
            </w:pPr>
          </w:p>
        </w:tc>
        <w:tc>
          <w:tcPr>
            <w:tcW w:w="633" w:type="pct"/>
          </w:tcPr>
          <w:p w14:paraId="69C30BA8" w14:textId="77777777" w:rsidR="0061594B" w:rsidRPr="00137F8C" w:rsidRDefault="0061594B" w:rsidP="0061594B">
            <w:pPr>
              <w:spacing w:before="20"/>
              <w:rPr>
                <w:sz w:val="22"/>
                <w:szCs w:val="22"/>
              </w:rPr>
            </w:pPr>
            <w:r w:rsidRPr="00137F8C">
              <w:rPr>
                <w:sz w:val="22"/>
                <w:szCs w:val="22"/>
              </w:rPr>
              <w:t>e</w:t>
            </w:r>
          </w:p>
        </w:tc>
        <w:tc>
          <w:tcPr>
            <w:tcW w:w="557" w:type="pct"/>
          </w:tcPr>
          <w:p w14:paraId="7AA30A83" w14:textId="77777777" w:rsidR="0061594B" w:rsidRPr="00137F8C" w:rsidRDefault="0061594B" w:rsidP="0061594B">
            <w:pPr>
              <w:spacing w:before="20"/>
              <w:rPr>
                <w:sz w:val="22"/>
                <w:szCs w:val="22"/>
              </w:rPr>
            </w:pPr>
            <w:r w:rsidRPr="00137F8C">
              <w:rPr>
                <w:sz w:val="22"/>
                <w:szCs w:val="22"/>
              </w:rPr>
              <w:t>5, 1. </w:t>
            </w:r>
            <w:proofErr w:type="spellStart"/>
            <w:r w:rsidRPr="00137F8C">
              <w:rPr>
                <w:sz w:val="22"/>
                <w:szCs w:val="22"/>
              </w:rPr>
              <w:t>odst</w:t>
            </w:r>
            <w:proofErr w:type="spellEnd"/>
          </w:p>
        </w:tc>
        <w:tc>
          <w:tcPr>
            <w:tcW w:w="1285" w:type="pct"/>
          </w:tcPr>
          <w:p w14:paraId="5BD745AA" w14:textId="77777777" w:rsidR="0061594B" w:rsidRPr="00137F8C" w:rsidRDefault="0061594B" w:rsidP="0061594B">
            <w:pPr>
              <w:spacing w:before="20"/>
              <w:rPr>
                <w:strike/>
                <w:sz w:val="22"/>
                <w:szCs w:val="22"/>
              </w:rPr>
            </w:pPr>
            <w:r w:rsidRPr="00137F8C">
              <w:rPr>
                <w:sz w:val="22"/>
                <w:szCs w:val="22"/>
              </w:rPr>
              <w:t xml:space="preserve">3.7 … působit </w:t>
            </w:r>
            <w:r w:rsidRPr="00137F8C">
              <w:rPr>
                <w:b/>
                <w:strike/>
                <w:sz w:val="22"/>
                <w:szCs w:val="22"/>
              </w:rPr>
              <w:t>nejméně</w:t>
            </w:r>
            <w:r w:rsidRPr="00137F8C">
              <w:rPr>
                <w:sz w:val="22"/>
                <w:szCs w:val="22"/>
              </w:rPr>
              <w:t xml:space="preserve"> dva členové, kteří jsou …</w:t>
            </w:r>
          </w:p>
        </w:tc>
        <w:tc>
          <w:tcPr>
            <w:tcW w:w="1702" w:type="pct"/>
          </w:tcPr>
          <w:p w14:paraId="6C98712F" w14:textId="77777777" w:rsidR="0061594B" w:rsidRPr="00137F8C" w:rsidRDefault="0061594B" w:rsidP="0061594B">
            <w:pPr>
              <w:spacing w:before="20"/>
              <w:rPr>
                <w:bCs/>
                <w:sz w:val="22"/>
                <w:szCs w:val="22"/>
              </w:rPr>
            </w:pPr>
            <w:r w:rsidRPr="00137F8C">
              <w:rPr>
                <w:bCs/>
                <w:sz w:val="22"/>
                <w:szCs w:val="22"/>
              </w:rPr>
              <w:t xml:space="preserve">zachování konzistence viz str. 5 materiálu </w:t>
            </w:r>
            <w:r w:rsidRPr="00137F8C">
              <w:rPr>
                <w:b/>
                <w:bCs/>
                <w:sz w:val="22"/>
                <w:szCs w:val="22"/>
              </w:rPr>
              <w:t xml:space="preserve">(d) </w:t>
            </w:r>
            <w:r w:rsidRPr="00137F8C">
              <w:rPr>
                <w:bCs/>
                <w:sz w:val="22"/>
                <w:szCs w:val="22"/>
              </w:rPr>
              <w:t>část F-III, 1. věta/1. odstavec</w:t>
            </w:r>
          </w:p>
        </w:tc>
        <w:tc>
          <w:tcPr>
            <w:tcW w:w="649" w:type="pct"/>
          </w:tcPr>
          <w:p w14:paraId="2F3AFD87" w14:textId="26551A79" w:rsidR="0061594B" w:rsidRPr="00F85FF9" w:rsidRDefault="4032A9AC" w:rsidP="0061594B">
            <w:pPr>
              <w:spacing w:before="20"/>
              <w:rPr>
                <w:sz w:val="22"/>
                <w:szCs w:val="22"/>
              </w:rPr>
            </w:pPr>
            <w:r w:rsidRPr="00F85FF9">
              <w:rPr>
                <w:b/>
                <w:bCs/>
                <w:sz w:val="22"/>
                <w:szCs w:val="22"/>
              </w:rPr>
              <w:t>Akceptováno</w:t>
            </w:r>
            <w:r w:rsidRPr="00F85FF9">
              <w:rPr>
                <w:sz w:val="22"/>
                <w:szCs w:val="22"/>
              </w:rPr>
              <w:t>. Bude vyškrtnuto z materiálu e).</w:t>
            </w:r>
          </w:p>
        </w:tc>
      </w:tr>
      <w:tr w:rsidR="0061594B" w:rsidRPr="00137F8C" w14:paraId="24F2D51A" w14:textId="77777777" w:rsidTr="13403F21">
        <w:trPr>
          <w:trHeight w:val="567"/>
        </w:trPr>
        <w:tc>
          <w:tcPr>
            <w:tcW w:w="174" w:type="pct"/>
          </w:tcPr>
          <w:p w14:paraId="43F41C65" w14:textId="77777777" w:rsidR="0061594B" w:rsidRPr="00137F8C" w:rsidRDefault="0061594B" w:rsidP="0061594B">
            <w:pPr>
              <w:numPr>
                <w:ilvl w:val="0"/>
                <w:numId w:val="1"/>
              </w:numPr>
              <w:spacing w:before="20"/>
              <w:rPr>
                <w:b/>
                <w:sz w:val="22"/>
                <w:szCs w:val="22"/>
              </w:rPr>
            </w:pPr>
          </w:p>
        </w:tc>
        <w:tc>
          <w:tcPr>
            <w:tcW w:w="633" w:type="pct"/>
          </w:tcPr>
          <w:p w14:paraId="06F22862" w14:textId="77777777" w:rsidR="0061594B" w:rsidRPr="00137F8C" w:rsidRDefault="0061594B" w:rsidP="0061594B">
            <w:pPr>
              <w:spacing w:before="20"/>
              <w:rPr>
                <w:sz w:val="22"/>
                <w:szCs w:val="22"/>
              </w:rPr>
            </w:pPr>
            <w:r w:rsidRPr="00137F8C">
              <w:rPr>
                <w:sz w:val="22"/>
                <w:szCs w:val="22"/>
              </w:rPr>
              <w:t>e</w:t>
            </w:r>
          </w:p>
        </w:tc>
        <w:tc>
          <w:tcPr>
            <w:tcW w:w="557" w:type="pct"/>
          </w:tcPr>
          <w:p w14:paraId="1303FB57" w14:textId="77777777" w:rsidR="0061594B" w:rsidRPr="00137F8C" w:rsidRDefault="0061594B" w:rsidP="0061594B">
            <w:pPr>
              <w:spacing w:before="20"/>
              <w:rPr>
                <w:sz w:val="22"/>
                <w:szCs w:val="22"/>
              </w:rPr>
            </w:pPr>
            <w:r w:rsidRPr="00137F8C">
              <w:rPr>
                <w:sz w:val="22"/>
                <w:szCs w:val="22"/>
              </w:rPr>
              <w:t>5, 2. </w:t>
            </w:r>
            <w:proofErr w:type="spellStart"/>
            <w:r w:rsidRPr="00137F8C">
              <w:rPr>
                <w:sz w:val="22"/>
                <w:szCs w:val="22"/>
              </w:rPr>
              <w:t>odst</w:t>
            </w:r>
            <w:proofErr w:type="spellEnd"/>
          </w:p>
        </w:tc>
        <w:tc>
          <w:tcPr>
            <w:tcW w:w="1285" w:type="pct"/>
          </w:tcPr>
          <w:p w14:paraId="1ACDF3E0" w14:textId="77777777" w:rsidR="0061594B" w:rsidRPr="00137F8C" w:rsidRDefault="0061594B" w:rsidP="0061594B">
            <w:pPr>
              <w:spacing w:before="20"/>
              <w:rPr>
                <w:strike/>
                <w:sz w:val="22"/>
                <w:szCs w:val="22"/>
              </w:rPr>
            </w:pPr>
            <w:r w:rsidRPr="00137F8C">
              <w:rPr>
                <w:sz w:val="22"/>
                <w:szCs w:val="22"/>
              </w:rPr>
              <w:t xml:space="preserve">… působit </w:t>
            </w:r>
            <w:r w:rsidRPr="00137F8C">
              <w:rPr>
                <w:b/>
                <w:strike/>
                <w:sz w:val="22"/>
                <w:szCs w:val="22"/>
              </w:rPr>
              <w:t>nejméně</w:t>
            </w:r>
            <w:r w:rsidRPr="00137F8C">
              <w:rPr>
                <w:sz w:val="22"/>
                <w:szCs w:val="22"/>
              </w:rPr>
              <w:t xml:space="preserve"> dva členové splňující výše uvedené charakteristiky</w:t>
            </w:r>
          </w:p>
        </w:tc>
        <w:tc>
          <w:tcPr>
            <w:tcW w:w="1702" w:type="pct"/>
          </w:tcPr>
          <w:p w14:paraId="6A11A5D9" w14:textId="77777777" w:rsidR="0061594B" w:rsidRPr="00137F8C" w:rsidRDefault="0061594B" w:rsidP="0061594B">
            <w:pPr>
              <w:spacing w:before="20"/>
              <w:rPr>
                <w:bCs/>
                <w:sz w:val="22"/>
                <w:szCs w:val="22"/>
              </w:rPr>
            </w:pPr>
            <w:r w:rsidRPr="00137F8C">
              <w:rPr>
                <w:bCs/>
                <w:sz w:val="22"/>
                <w:szCs w:val="22"/>
              </w:rPr>
              <w:t xml:space="preserve">zachování konzistence viz str. 5 materiálu </w:t>
            </w:r>
            <w:r w:rsidRPr="00137F8C">
              <w:rPr>
                <w:b/>
                <w:bCs/>
                <w:sz w:val="22"/>
                <w:szCs w:val="22"/>
              </w:rPr>
              <w:t xml:space="preserve">(d) </w:t>
            </w:r>
            <w:r w:rsidRPr="00137F8C">
              <w:rPr>
                <w:bCs/>
                <w:sz w:val="22"/>
                <w:szCs w:val="22"/>
              </w:rPr>
              <w:t>část F-IV, 2. odstavec</w:t>
            </w:r>
          </w:p>
        </w:tc>
        <w:tc>
          <w:tcPr>
            <w:tcW w:w="649" w:type="pct"/>
          </w:tcPr>
          <w:p w14:paraId="42146EFE" w14:textId="3A62F5F8" w:rsidR="0061594B" w:rsidRPr="00F85FF9" w:rsidRDefault="4032A9AC" w:rsidP="0061594B">
            <w:pPr>
              <w:spacing w:before="20"/>
              <w:rPr>
                <w:sz w:val="22"/>
                <w:szCs w:val="22"/>
              </w:rPr>
            </w:pPr>
            <w:r w:rsidRPr="00F85FF9">
              <w:rPr>
                <w:b/>
                <w:bCs/>
                <w:sz w:val="22"/>
                <w:szCs w:val="22"/>
              </w:rPr>
              <w:t>Akceptováno</w:t>
            </w:r>
            <w:r w:rsidRPr="00F85FF9">
              <w:rPr>
                <w:sz w:val="22"/>
                <w:szCs w:val="22"/>
              </w:rPr>
              <w:t>. Bude vyškrtnuto z materiálu e).</w:t>
            </w:r>
          </w:p>
        </w:tc>
      </w:tr>
      <w:tr w:rsidR="0061594B" w:rsidRPr="00137F8C" w14:paraId="75E5A46B" w14:textId="77777777" w:rsidTr="13403F21">
        <w:trPr>
          <w:trHeight w:val="567"/>
        </w:trPr>
        <w:tc>
          <w:tcPr>
            <w:tcW w:w="174" w:type="pct"/>
          </w:tcPr>
          <w:p w14:paraId="12E5FD39" w14:textId="77777777" w:rsidR="0061594B" w:rsidRPr="00137F8C" w:rsidRDefault="0061594B" w:rsidP="0061594B">
            <w:pPr>
              <w:numPr>
                <w:ilvl w:val="0"/>
                <w:numId w:val="1"/>
              </w:numPr>
              <w:spacing w:before="20"/>
              <w:rPr>
                <w:b/>
                <w:sz w:val="22"/>
                <w:szCs w:val="22"/>
              </w:rPr>
            </w:pPr>
          </w:p>
        </w:tc>
        <w:tc>
          <w:tcPr>
            <w:tcW w:w="633" w:type="pct"/>
          </w:tcPr>
          <w:p w14:paraId="1C301EB8" w14:textId="77777777" w:rsidR="0061594B" w:rsidRPr="00137F8C" w:rsidRDefault="0061594B" w:rsidP="0061594B">
            <w:pPr>
              <w:spacing w:before="20"/>
              <w:rPr>
                <w:sz w:val="22"/>
                <w:szCs w:val="22"/>
              </w:rPr>
            </w:pPr>
            <w:r w:rsidRPr="00137F8C">
              <w:rPr>
                <w:sz w:val="22"/>
                <w:szCs w:val="22"/>
              </w:rPr>
              <w:t>a</w:t>
            </w:r>
          </w:p>
        </w:tc>
        <w:tc>
          <w:tcPr>
            <w:tcW w:w="557" w:type="pct"/>
          </w:tcPr>
          <w:p w14:paraId="7D17365B" w14:textId="77777777" w:rsidR="0061594B" w:rsidRPr="00137F8C" w:rsidRDefault="0061594B" w:rsidP="0061594B">
            <w:pPr>
              <w:spacing w:before="20"/>
              <w:rPr>
                <w:sz w:val="22"/>
                <w:szCs w:val="22"/>
              </w:rPr>
            </w:pPr>
            <w:r w:rsidRPr="00137F8C">
              <w:rPr>
                <w:sz w:val="22"/>
                <w:szCs w:val="22"/>
              </w:rPr>
              <w:t>2</w:t>
            </w:r>
          </w:p>
        </w:tc>
        <w:tc>
          <w:tcPr>
            <w:tcW w:w="1285" w:type="pct"/>
          </w:tcPr>
          <w:p w14:paraId="7E8D4621" w14:textId="77777777" w:rsidR="0061594B" w:rsidRPr="00137F8C" w:rsidRDefault="0061594B" w:rsidP="0061594B">
            <w:pPr>
              <w:spacing w:before="20"/>
              <w:rPr>
                <w:b/>
                <w:bCs/>
              </w:rPr>
            </w:pPr>
            <w:r w:rsidRPr="00137F8C">
              <w:rPr>
                <w:b/>
                <w:bCs/>
                <w:sz w:val="22"/>
                <w:szCs w:val="22"/>
              </w:rPr>
              <w:t>Upravit:</w:t>
            </w:r>
          </w:p>
          <w:p w14:paraId="0CC8509C" w14:textId="77777777" w:rsidR="0061594B" w:rsidRPr="00137F8C" w:rsidRDefault="0061594B" w:rsidP="0061594B">
            <w:pPr>
              <w:spacing w:before="20"/>
            </w:pPr>
            <w:r w:rsidRPr="00137F8C">
              <w:t xml:space="preserve">„Vysoká škola zde popíše, jak v konkrétních případech za posledních 5 let aplikovala výše uvedený postup a jaké závěry z těchto případů, </w:t>
            </w:r>
            <w:r w:rsidRPr="00137F8C">
              <w:lastRenderedPageBreak/>
              <w:t>vyskytly-li se, vysoká škola, resp. součást vyvodila (např. změny v systému vedení a kontroly závěrečných prací). Odhalení případů jednání proti dobrým mravům samo o sobě neimplikuje nenaplnění standardu, ale vysoká škola musí mít účinné mechanismy k zachycení a řešení těchto případů a zároveň by měla být schopna na základě vyhodnocení případů přijmout relevantní systémová opatření.“</w:t>
            </w:r>
          </w:p>
        </w:tc>
        <w:tc>
          <w:tcPr>
            <w:tcW w:w="1702" w:type="pct"/>
          </w:tcPr>
          <w:p w14:paraId="7BC92472" w14:textId="77777777" w:rsidR="0061594B" w:rsidRPr="00137F8C" w:rsidRDefault="0061594B" w:rsidP="0061594B">
            <w:pPr>
              <w:spacing w:before="20"/>
              <w:jc w:val="both"/>
              <w:rPr>
                <w:sz w:val="22"/>
                <w:szCs w:val="22"/>
              </w:rPr>
            </w:pPr>
            <w:r w:rsidRPr="00137F8C">
              <w:rPr>
                <w:sz w:val="22"/>
                <w:szCs w:val="22"/>
              </w:rPr>
              <w:lastRenderedPageBreak/>
              <w:t>Pochybení jednotlivce nemá být důvodem přijetí systémových opatření. Současná textace k takovému závěru svádí.</w:t>
            </w:r>
          </w:p>
        </w:tc>
        <w:tc>
          <w:tcPr>
            <w:tcW w:w="649" w:type="pct"/>
          </w:tcPr>
          <w:p w14:paraId="6E8816F5" w14:textId="7E5F504C" w:rsidR="0061594B" w:rsidRPr="00137F8C" w:rsidRDefault="00C74EBA" w:rsidP="0061594B">
            <w:pPr>
              <w:spacing w:before="20"/>
              <w:rPr>
                <w:sz w:val="22"/>
                <w:szCs w:val="22"/>
              </w:rPr>
            </w:pPr>
            <w:r w:rsidRPr="00EE52CA">
              <w:rPr>
                <w:b/>
                <w:bCs/>
                <w:sz w:val="22"/>
                <w:szCs w:val="22"/>
              </w:rPr>
              <w:t>Neakceptováno</w:t>
            </w:r>
            <w:r>
              <w:rPr>
                <w:sz w:val="22"/>
                <w:szCs w:val="22"/>
              </w:rPr>
              <w:t xml:space="preserve">. Novou textací není míněno, že na základě každého jednotlivého </w:t>
            </w:r>
            <w:r>
              <w:rPr>
                <w:sz w:val="22"/>
                <w:szCs w:val="22"/>
              </w:rPr>
              <w:lastRenderedPageBreak/>
              <w:t>pochybení musí vysoká škola vždy přijmout systémová řešení. Opatření by měla být přijímána podle charakteru zjištěných pochybení. Text metodického materiálu je koncipován široce tak, aby ho bylo možné vztáhnout k situacím různé závažnosti či rozsahu.</w:t>
            </w:r>
          </w:p>
        </w:tc>
      </w:tr>
      <w:tr w:rsidR="0061594B" w:rsidRPr="00075BB5" w14:paraId="46FB1D53" w14:textId="77777777" w:rsidTr="13403F21">
        <w:trPr>
          <w:trHeight w:val="567"/>
        </w:trPr>
        <w:tc>
          <w:tcPr>
            <w:tcW w:w="174" w:type="pct"/>
          </w:tcPr>
          <w:p w14:paraId="05E1A0F9" w14:textId="77777777" w:rsidR="0061594B" w:rsidRPr="00137F8C" w:rsidRDefault="0061594B" w:rsidP="0061594B">
            <w:pPr>
              <w:numPr>
                <w:ilvl w:val="0"/>
                <w:numId w:val="1"/>
              </w:numPr>
              <w:spacing w:before="20"/>
              <w:rPr>
                <w:b/>
                <w:sz w:val="22"/>
                <w:szCs w:val="22"/>
              </w:rPr>
            </w:pPr>
          </w:p>
        </w:tc>
        <w:tc>
          <w:tcPr>
            <w:tcW w:w="633" w:type="pct"/>
          </w:tcPr>
          <w:p w14:paraId="3BE92CED" w14:textId="77777777" w:rsidR="0061594B" w:rsidRPr="00137F8C" w:rsidRDefault="0061594B" w:rsidP="0061594B">
            <w:pPr>
              <w:spacing w:before="20"/>
              <w:rPr>
                <w:sz w:val="22"/>
                <w:szCs w:val="22"/>
              </w:rPr>
            </w:pPr>
            <w:r w:rsidRPr="00137F8C">
              <w:rPr>
                <w:sz w:val="22"/>
                <w:szCs w:val="22"/>
              </w:rPr>
              <w:t>a</w:t>
            </w:r>
          </w:p>
        </w:tc>
        <w:tc>
          <w:tcPr>
            <w:tcW w:w="557" w:type="pct"/>
          </w:tcPr>
          <w:p w14:paraId="7B6D49F9" w14:textId="77777777" w:rsidR="0061594B" w:rsidRPr="00137F8C" w:rsidRDefault="0061594B" w:rsidP="0061594B">
            <w:pPr>
              <w:spacing w:before="20"/>
              <w:rPr>
                <w:sz w:val="22"/>
                <w:szCs w:val="22"/>
              </w:rPr>
            </w:pPr>
            <w:r w:rsidRPr="00137F8C">
              <w:rPr>
                <w:sz w:val="22"/>
                <w:szCs w:val="22"/>
              </w:rPr>
              <w:t xml:space="preserve"> 21</w:t>
            </w:r>
          </w:p>
        </w:tc>
        <w:tc>
          <w:tcPr>
            <w:tcW w:w="1285" w:type="pct"/>
          </w:tcPr>
          <w:p w14:paraId="2ABBD968" w14:textId="77777777" w:rsidR="0061594B" w:rsidRPr="00137F8C" w:rsidRDefault="0061594B" w:rsidP="0061594B">
            <w:pPr>
              <w:spacing w:before="20"/>
            </w:pPr>
            <w:r w:rsidRPr="00137F8C">
              <w:rPr>
                <w:b/>
                <w:bCs/>
              </w:rPr>
              <w:t>Upravit:</w:t>
            </w:r>
            <w:r w:rsidRPr="00137F8C">
              <w:t xml:space="preserve"> „Má-li být studijní program uskutečňován v kombinované formě studia, uvede vysoká škola tento popis v přiměřeném rozsahu pro distanční prvky výuky v tomto studijním programu.“</w:t>
            </w:r>
          </w:p>
        </w:tc>
        <w:tc>
          <w:tcPr>
            <w:tcW w:w="1702" w:type="pct"/>
          </w:tcPr>
          <w:p w14:paraId="03903FAE" w14:textId="77777777" w:rsidR="0061594B" w:rsidRPr="00A861E8" w:rsidRDefault="0061594B" w:rsidP="0061594B">
            <w:pPr>
              <w:rPr>
                <w:sz w:val="22"/>
                <w:szCs w:val="22"/>
              </w:rPr>
            </w:pPr>
            <w:r w:rsidRPr="00137F8C">
              <w:rPr>
                <w:sz w:val="22"/>
                <w:szCs w:val="22"/>
              </w:rPr>
              <w:t>Nově se pravidla pro distanční formu studia vztahují přiměřeně i na kombinovanou formu studia (její distanční prvky, přičemž není jasné, které ze shora uvedených povinností je třeba pro kombinovanou formu aplikovat – popsat). Vhodnější by bylo tyto formy odlišit. Neurčitý pojem „přiměřený rozsah“ není vhodný.</w:t>
            </w:r>
          </w:p>
          <w:p w14:paraId="4FE7A1F8" w14:textId="77777777" w:rsidR="0061594B" w:rsidRDefault="0061594B" w:rsidP="0061594B">
            <w:pPr>
              <w:spacing w:before="20"/>
              <w:jc w:val="both"/>
              <w:rPr>
                <w:sz w:val="22"/>
                <w:szCs w:val="22"/>
              </w:rPr>
            </w:pPr>
          </w:p>
        </w:tc>
        <w:tc>
          <w:tcPr>
            <w:tcW w:w="649" w:type="pct"/>
          </w:tcPr>
          <w:p w14:paraId="043D83EF" w14:textId="79E59A9A" w:rsidR="0061594B" w:rsidRPr="00305623" w:rsidRDefault="3850DEEF" w:rsidP="0061594B">
            <w:pPr>
              <w:spacing w:before="20"/>
              <w:rPr>
                <w:sz w:val="22"/>
                <w:szCs w:val="22"/>
              </w:rPr>
            </w:pPr>
            <w:r w:rsidRPr="13403F21">
              <w:rPr>
                <w:b/>
                <w:bCs/>
                <w:sz w:val="22"/>
                <w:szCs w:val="22"/>
              </w:rPr>
              <w:t>Neakceptováno</w:t>
            </w:r>
            <w:r w:rsidRPr="13403F21">
              <w:rPr>
                <w:sz w:val="22"/>
                <w:szCs w:val="22"/>
              </w:rPr>
              <w:t xml:space="preserve">. Jedná se o rozvedení a upřesnění výkladu požadavků standardů pro akreditace na kombinovanou a distanční formu studia a na studijní předměty v distanční formě studia. Vzhledem k odlišnostem v pojetí a zabezpečení různých studijních programů v kombinované formě studia je </w:t>
            </w:r>
            <w:r w:rsidRPr="13403F21">
              <w:rPr>
                <w:sz w:val="22"/>
                <w:szCs w:val="22"/>
              </w:rPr>
              <w:lastRenderedPageBreak/>
              <w:t>vhodné ponechat prostor pro to, aby vysoká škola uvedla údaje a informace toho druhu, který je v daném případě aplikovatelný.</w:t>
            </w:r>
          </w:p>
        </w:tc>
      </w:tr>
    </w:tbl>
    <w:p w14:paraId="2AA0C728" w14:textId="77777777" w:rsidR="007A1BB9" w:rsidRDefault="007A1BB9" w:rsidP="00815D9B">
      <w:pPr>
        <w:spacing w:before="60" w:line="288" w:lineRule="auto"/>
        <w:jc w:val="both"/>
        <w:rPr>
          <w:sz w:val="22"/>
          <w:szCs w:val="22"/>
        </w:rPr>
      </w:pPr>
    </w:p>
    <w:sectPr w:rsidR="007A1BB9" w:rsidSect="00815D9B">
      <w:headerReference w:type="even" r:id="rId8"/>
      <w:headerReference w:type="default" r:id="rId9"/>
      <w:footerReference w:type="default" r:id="rId10"/>
      <w:footerReference w:type="first" r:id="rId11"/>
      <w:pgSz w:w="16838" w:h="11906" w:orient="landscape" w:code="9"/>
      <w:pgMar w:top="851" w:right="851" w:bottom="567" w:left="851"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3326F" w14:textId="77777777" w:rsidR="00EC5F24" w:rsidRDefault="00EC5F24">
      <w:r>
        <w:separator/>
      </w:r>
    </w:p>
  </w:endnote>
  <w:endnote w:type="continuationSeparator" w:id="0">
    <w:p w14:paraId="64C00A7C" w14:textId="77777777" w:rsidR="00EC5F24" w:rsidRDefault="00EC5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46206" w14:textId="77777777" w:rsidR="00815D9B" w:rsidRPr="00815D9B" w:rsidRDefault="00815D9B">
    <w:pPr>
      <w:pStyle w:val="Zpat"/>
      <w:jc w:val="center"/>
      <w:rPr>
        <w:sz w:val="22"/>
        <w:szCs w:val="22"/>
      </w:rPr>
    </w:pPr>
    <w:r w:rsidRPr="00815D9B">
      <w:rPr>
        <w:sz w:val="22"/>
        <w:szCs w:val="22"/>
      </w:rPr>
      <w:fldChar w:fldCharType="begin"/>
    </w:r>
    <w:r w:rsidRPr="00815D9B">
      <w:rPr>
        <w:sz w:val="22"/>
        <w:szCs w:val="22"/>
      </w:rPr>
      <w:instrText>PAGE   \* MERGEFORMAT</w:instrText>
    </w:r>
    <w:r w:rsidRPr="00815D9B">
      <w:rPr>
        <w:sz w:val="22"/>
        <w:szCs w:val="22"/>
      </w:rPr>
      <w:fldChar w:fldCharType="separate"/>
    </w:r>
    <w:r w:rsidR="0061594B">
      <w:rPr>
        <w:noProof/>
        <w:sz w:val="22"/>
        <w:szCs w:val="22"/>
      </w:rPr>
      <w:t>16</w:t>
    </w:r>
    <w:r w:rsidRPr="00815D9B">
      <w:rPr>
        <w:sz w:val="22"/>
        <w:szCs w:val="22"/>
      </w:rPr>
      <w:fldChar w:fldCharType="end"/>
    </w:r>
  </w:p>
  <w:p w14:paraId="63516AE0" w14:textId="77777777" w:rsidR="00815D9B" w:rsidRDefault="00815D9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FD34" w14:textId="77777777" w:rsidR="00815D9B" w:rsidRPr="00815D9B" w:rsidRDefault="00815D9B">
    <w:pPr>
      <w:pStyle w:val="Zpat"/>
      <w:jc w:val="center"/>
      <w:rPr>
        <w:sz w:val="22"/>
        <w:szCs w:val="22"/>
      </w:rPr>
    </w:pPr>
    <w:r w:rsidRPr="00815D9B">
      <w:rPr>
        <w:sz w:val="22"/>
        <w:szCs w:val="22"/>
      </w:rPr>
      <w:fldChar w:fldCharType="begin"/>
    </w:r>
    <w:r w:rsidRPr="00815D9B">
      <w:rPr>
        <w:sz w:val="22"/>
        <w:szCs w:val="22"/>
      </w:rPr>
      <w:instrText>PAGE   \* MERGEFORMAT</w:instrText>
    </w:r>
    <w:r w:rsidRPr="00815D9B">
      <w:rPr>
        <w:sz w:val="22"/>
        <w:szCs w:val="22"/>
      </w:rPr>
      <w:fldChar w:fldCharType="separate"/>
    </w:r>
    <w:r w:rsidR="0061594B">
      <w:rPr>
        <w:noProof/>
        <w:sz w:val="22"/>
        <w:szCs w:val="22"/>
      </w:rPr>
      <w:t>1</w:t>
    </w:r>
    <w:r w:rsidRPr="00815D9B">
      <w:rPr>
        <w:sz w:val="22"/>
        <w:szCs w:val="22"/>
      </w:rPr>
      <w:fldChar w:fldCharType="end"/>
    </w:r>
  </w:p>
  <w:p w14:paraId="29496352" w14:textId="77777777" w:rsidR="00815D9B" w:rsidRDefault="00815D9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AA3AA" w14:textId="77777777" w:rsidR="00EC5F24" w:rsidRDefault="00EC5F24">
      <w:r>
        <w:separator/>
      </w:r>
    </w:p>
  </w:footnote>
  <w:footnote w:type="continuationSeparator" w:id="0">
    <w:p w14:paraId="4F75E67C" w14:textId="77777777" w:rsidR="00EC5F24" w:rsidRDefault="00EC5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2B7BD" w14:textId="77777777" w:rsidR="0004457C" w:rsidRDefault="0004457C" w:rsidP="009A0526">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30FACF7" w14:textId="77777777" w:rsidR="0004457C" w:rsidRDefault="0004457C" w:rsidP="009A0526">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CC278" w14:textId="77777777" w:rsidR="0004457C" w:rsidRDefault="0004457C" w:rsidP="009A0526">
    <w:pPr>
      <w:pStyle w:val="Zhlav"/>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15324"/>
    <w:multiLevelType w:val="hybridMultilevel"/>
    <w:tmpl w:val="FFFFFFFF"/>
    <w:lvl w:ilvl="0" w:tplc="1D58236C">
      <w:start w:val="1"/>
      <w:numFmt w:val="upperRoman"/>
      <w:lvlText w:val="(%1)"/>
      <w:lvlJc w:val="left"/>
      <w:pPr>
        <w:ind w:left="360" w:hanging="360"/>
      </w:pPr>
      <w:rPr>
        <w:rFonts w:ascii="Times New Roman" w:eastAsia="Times New Roman" w:hAnsi="Times New Roman"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15:restartNumberingAfterBreak="0">
    <w:nsid w:val="0FCC36E6"/>
    <w:multiLevelType w:val="hybridMultilevel"/>
    <w:tmpl w:val="FFFFFFFF"/>
    <w:lvl w:ilvl="0" w:tplc="31E0C8AA">
      <w:numFmt w:val="decimal"/>
      <w:lvlText w:val="(%1)"/>
      <w:lvlJc w:val="left"/>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 w15:restartNumberingAfterBreak="0">
    <w:nsid w:val="16457B40"/>
    <w:multiLevelType w:val="multilevel"/>
    <w:tmpl w:val="FFFFFFFF"/>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298"/>
        </w:tabs>
        <w:ind w:left="1298" w:hanging="360"/>
      </w:pPr>
      <w:rPr>
        <w:rFonts w:cs="Times New Roman"/>
      </w:rPr>
    </w:lvl>
    <w:lvl w:ilvl="2">
      <w:start w:val="1"/>
      <w:numFmt w:val="lowerRoman"/>
      <w:lvlText w:val="%3."/>
      <w:lvlJc w:val="right"/>
      <w:pPr>
        <w:tabs>
          <w:tab w:val="num" w:pos="2018"/>
        </w:tabs>
        <w:ind w:left="2018" w:hanging="180"/>
      </w:pPr>
      <w:rPr>
        <w:rFonts w:cs="Times New Roman"/>
      </w:rPr>
    </w:lvl>
    <w:lvl w:ilvl="3">
      <w:start w:val="1"/>
      <w:numFmt w:val="decimal"/>
      <w:lvlText w:val="%4."/>
      <w:lvlJc w:val="left"/>
      <w:pPr>
        <w:tabs>
          <w:tab w:val="num" w:pos="2738"/>
        </w:tabs>
        <w:ind w:left="2738" w:hanging="360"/>
      </w:pPr>
      <w:rPr>
        <w:rFonts w:cs="Times New Roman"/>
      </w:rPr>
    </w:lvl>
    <w:lvl w:ilvl="4">
      <w:start w:val="1"/>
      <w:numFmt w:val="lowerLetter"/>
      <w:lvlText w:val="%5."/>
      <w:lvlJc w:val="left"/>
      <w:pPr>
        <w:tabs>
          <w:tab w:val="num" w:pos="3458"/>
        </w:tabs>
        <w:ind w:left="3458" w:hanging="360"/>
      </w:pPr>
      <w:rPr>
        <w:rFonts w:cs="Times New Roman"/>
      </w:rPr>
    </w:lvl>
    <w:lvl w:ilvl="5">
      <w:start w:val="1"/>
      <w:numFmt w:val="lowerRoman"/>
      <w:lvlText w:val="%6."/>
      <w:lvlJc w:val="right"/>
      <w:pPr>
        <w:tabs>
          <w:tab w:val="num" w:pos="4178"/>
        </w:tabs>
        <w:ind w:left="4178" w:hanging="180"/>
      </w:pPr>
      <w:rPr>
        <w:rFonts w:cs="Times New Roman"/>
      </w:rPr>
    </w:lvl>
    <w:lvl w:ilvl="6">
      <w:start w:val="1"/>
      <w:numFmt w:val="decimal"/>
      <w:lvlText w:val="%7."/>
      <w:lvlJc w:val="left"/>
      <w:pPr>
        <w:tabs>
          <w:tab w:val="num" w:pos="4898"/>
        </w:tabs>
        <w:ind w:left="4898" w:hanging="360"/>
      </w:pPr>
      <w:rPr>
        <w:rFonts w:cs="Times New Roman"/>
      </w:rPr>
    </w:lvl>
    <w:lvl w:ilvl="7">
      <w:start w:val="1"/>
      <w:numFmt w:val="lowerLetter"/>
      <w:lvlText w:val="%8."/>
      <w:lvlJc w:val="left"/>
      <w:pPr>
        <w:tabs>
          <w:tab w:val="num" w:pos="5618"/>
        </w:tabs>
        <w:ind w:left="5618" w:hanging="360"/>
      </w:pPr>
      <w:rPr>
        <w:rFonts w:cs="Times New Roman"/>
      </w:rPr>
    </w:lvl>
    <w:lvl w:ilvl="8">
      <w:start w:val="1"/>
      <w:numFmt w:val="lowerRoman"/>
      <w:lvlText w:val="%9."/>
      <w:lvlJc w:val="right"/>
      <w:pPr>
        <w:tabs>
          <w:tab w:val="num" w:pos="6338"/>
        </w:tabs>
        <w:ind w:left="6338" w:hanging="180"/>
      </w:pPr>
      <w:rPr>
        <w:rFonts w:cs="Times New Roman"/>
      </w:rPr>
    </w:lvl>
  </w:abstractNum>
  <w:abstractNum w:abstractNumId="3" w15:restartNumberingAfterBreak="0">
    <w:nsid w:val="172E6B6D"/>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D8955AD"/>
    <w:multiLevelType w:val="hybridMultilevel"/>
    <w:tmpl w:val="FFFFFFFF"/>
    <w:lvl w:ilvl="0" w:tplc="39803E84">
      <w:start w:val="1"/>
      <w:numFmt w:val="upperRoman"/>
      <w:lvlText w:val="(%1)"/>
      <w:lvlJc w:val="left"/>
      <w:rPr>
        <w:rFonts w:ascii="Times New Roman" w:eastAsia="Times New Roman" w:hAnsi="Times New Roman"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1DEB0A03"/>
    <w:multiLevelType w:val="hybridMultilevel"/>
    <w:tmpl w:val="FFFFFFFF"/>
    <w:lvl w:ilvl="0" w:tplc="6DB8C224">
      <w:start w:val="1"/>
      <w:numFmt w:val="upperLetter"/>
      <w:lvlText w:val="(%1)"/>
      <w:lvlJc w:val="left"/>
      <w:pPr>
        <w:ind w:left="360" w:hanging="360"/>
      </w:pPr>
      <w:rPr>
        <w:rFonts w:ascii="Calibri" w:eastAsia="Times New Roman" w:hAnsi="Calibri"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6" w15:restartNumberingAfterBreak="0">
    <w:nsid w:val="4D980F3E"/>
    <w:multiLevelType w:val="hybridMultilevel"/>
    <w:tmpl w:val="FFFFFFFF"/>
    <w:lvl w:ilvl="0" w:tplc="3FEE1DB8">
      <w:start w:val="1"/>
      <w:numFmt w:val="lowerLetter"/>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7" w15:restartNumberingAfterBreak="0">
    <w:nsid w:val="6B404D08"/>
    <w:multiLevelType w:val="hybridMultilevel"/>
    <w:tmpl w:val="FFFFFFFF"/>
    <w:lvl w:ilvl="0" w:tplc="52947BFE">
      <w:start w:val="1"/>
      <w:numFmt w:val="decimal"/>
      <w:lvlText w:val="%1."/>
      <w:lvlJc w:val="left"/>
      <w:pPr>
        <w:tabs>
          <w:tab w:val="num" w:pos="502"/>
        </w:tabs>
        <w:ind w:left="502" w:hanging="360"/>
      </w:pPr>
      <w:rPr>
        <w:rFonts w:cs="Times New Roman" w:hint="default"/>
        <w:b/>
        <w:bCs/>
      </w:rPr>
    </w:lvl>
    <w:lvl w:ilvl="1" w:tplc="04050019">
      <w:start w:val="1"/>
      <w:numFmt w:val="lowerLetter"/>
      <w:lvlText w:val="%2."/>
      <w:lvlJc w:val="left"/>
      <w:pPr>
        <w:tabs>
          <w:tab w:val="num" w:pos="1298"/>
        </w:tabs>
        <w:ind w:left="1298" w:hanging="360"/>
      </w:pPr>
      <w:rPr>
        <w:rFonts w:cs="Times New Roman"/>
      </w:rPr>
    </w:lvl>
    <w:lvl w:ilvl="2" w:tplc="0405001B">
      <w:start w:val="1"/>
      <w:numFmt w:val="lowerRoman"/>
      <w:lvlText w:val="%3."/>
      <w:lvlJc w:val="right"/>
      <w:pPr>
        <w:tabs>
          <w:tab w:val="num" w:pos="2018"/>
        </w:tabs>
        <w:ind w:left="2018" w:hanging="180"/>
      </w:pPr>
      <w:rPr>
        <w:rFonts w:cs="Times New Roman"/>
      </w:rPr>
    </w:lvl>
    <w:lvl w:ilvl="3" w:tplc="0405000F">
      <w:start w:val="1"/>
      <w:numFmt w:val="decimal"/>
      <w:lvlText w:val="%4."/>
      <w:lvlJc w:val="left"/>
      <w:pPr>
        <w:tabs>
          <w:tab w:val="num" w:pos="2738"/>
        </w:tabs>
        <w:ind w:left="2738" w:hanging="360"/>
      </w:pPr>
      <w:rPr>
        <w:rFonts w:cs="Times New Roman"/>
      </w:rPr>
    </w:lvl>
    <w:lvl w:ilvl="4" w:tplc="04050019">
      <w:start w:val="1"/>
      <w:numFmt w:val="lowerLetter"/>
      <w:lvlText w:val="%5."/>
      <w:lvlJc w:val="left"/>
      <w:pPr>
        <w:tabs>
          <w:tab w:val="num" w:pos="3458"/>
        </w:tabs>
        <w:ind w:left="3458" w:hanging="360"/>
      </w:pPr>
      <w:rPr>
        <w:rFonts w:cs="Times New Roman"/>
      </w:rPr>
    </w:lvl>
    <w:lvl w:ilvl="5" w:tplc="0405001B">
      <w:start w:val="1"/>
      <w:numFmt w:val="lowerRoman"/>
      <w:lvlText w:val="%6."/>
      <w:lvlJc w:val="right"/>
      <w:pPr>
        <w:tabs>
          <w:tab w:val="num" w:pos="4178"/>
        </w:tabs>
        <w:ind w:left="4178" w:hanging="180"/>
      </w:pPr>
      <w:rPr>
        <w:rFonts w:cs="Times New Roman"/>
      </w:rPr>
    </w:lvl>
    <w:lvl w:ilvl="6" w:tplc="0405000F">
      <w:start w:val="1"/>
      <w:numFmt w:val="decimal"/>
      <w:lvlText w:val="%7."/>
      <w:lvlJc w:val="left"/>
      <w:pPr>
        <w:tabs>
          <w:tab w:val="num" w:pos="4898"/>
        </w:tabs>
        <w:ind w:left="4898" w:hanging="360"/>
      </w:pPr>
      <w:rPr>
        <w:rFonts w:cs="Times New Roman"/>
      </w:rPr>
    </w:lvl>
    <w:lvl w:ilvl="7" w:tplc="04050019">
      <w:start w:val="1"/>
      <w:numFmt w:val="lowerLetter"/>
      <w:lvlText w:val="%8."/>
      <w:lvlJc w:val="left"/>
      <w:pPr>
        <w:tabs>
          <w:tab w:val="num" w:pos="5618"/>
        </w:tabs>
        <w:ind w:left="5618" w:hanging="360"/>
      </w:pPr>
      <w:rPr>
        <w:rFonts w:cs="Times New Roman"/>
      </w:rPr>
    </w:lvl>
    <w:lvl w:ilvl="8" w:tplc="0405001B">
      <w:start w:val="1"/>
      <w:numFmt w:val="lowerRoman"/>
      <w:lvlText w:val="%9."/>
      <w:lvlJc w:val="right"/>
      <w:pPr>
        <w:tabs>
          <w:tab w:val="num" w:pos="6338"/>
        </w:tabs>
        <w:ind w:left="6338" w:hanging="180"/>
      </w:pPr>
      <w:rPr>
        <w:rFonts w:cs="Times New Roman"/>
      </w:rPr>
    </w:lvl>
  </w:abstractNum>
  <w:abstractNum w:abstractNumId="8" w15:restartNumberingAfterBreak="0">
    <w:nsid w:val="708710E8"/>
    <w:multiLevelType w:val="hybridMultilevel"/>
    <w:tmpl w:val="FFFFFFFF"/>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7"/>
  </w:num>
  <w:num w:numId="2">
    <w:abstractNumId w:val="3"/>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462"/>
    <w:rsid w:val="000075FE"/>
    <w:rsid w:val="00011E5A"/>
    <w:rsid w:val="0002647A"/>
    <w:rsid w:val="00030F06"/>
    <w:rsid w:val="00031A26"/>
    <w:rsid w:val="000411D5"/>
    <w:rsid w:val="0004457C"/>
    <w:rsid w:val="00046DD8"/>
    <w:rsid w:val="000476A4"/>
    <w:rsid w:val="000506B2"/>
    <w:rsid w:val="00055462"/>
    <w:rsid w:val="000657E2"/>
    <w:rsid w:val="00075B3E"/>
    <w:rsid w:val="00075BB5"/>
    <w:rsid w:val="00076930"/>
    <w:rsid w:val="0009755C"/>
    <w:rsid w:val="00097CA8"/>
    <w:rsid w:val="000A097A"/>
    <w:rsid w:val="000A1260"/>
    <w:rsid w:val="000A651F"/>
    <w:rsid w:val="000B5FAF"/>
    <w:rsid w:val="000C1778"/>
    <w:rsid w:val="000C2B43"/>
    <w:rsid w:val="000D0F26"/>
    <w:rsid w:val="000D1006"/>
    <w:rsid w:val="000D1399"/>
    <w:rsid w:val="000E27EC"/>
    <w:rsid w:val="000E619D"/>
    <w:rsid w:val="000F3F65"/>
    <w:rsid w:val="00102549"/>
    <w:rsid w:val="001045F1"/>
    <w:rsid w:val="00107FBA"/>
    <w:rsid w:val="0011295C"/>
    <w:rsid w:val="001145F1"/>
    <w:rsid w:val="00114BFC"/>
    <w:rsid w:val="00115410"/>
    <w:rsid w:val="00121120"/>
    <w:rsid w:val="00123148"/>
    <w:rsid w:val="00133344"/>
    <w:rsid w:val="001352AA"/>
    <w:rsid w:val="00137F8C"/>
    <w:rsid w:val="00166DFB"/>
    <w:rsid w:val="00181523"/>
    <w:rsid w:val="00191DF1"/>
    <w:rsid w:val="00193642"/>
    <w:rsid w:val="001A45F3"/>
    <w:rsid w:val="001A5C5B"/>
    <w:rsid w:val="001A5EC0"/>
    <w:rsid w:val="001B0D66"/>
    <w:rsid w:val="001B49BC"/>
    <w:rsid w:val="001C2597"/>
    <w:rsid w:val="001D4A43"/>
    <w:rsid w:val="001D64B1"/>
    <w:rsid w:val="001E629D"/>
    <w:rsid w:val="001F098A"/>
    <w:rsid w:val="0020002E"/>
    <w:rsid w:val="00200F45"/>
    <w:rsid w:val="0020709C"/>
    <w:rsid w:val="00214CFC"/>
    <w:rsid w:val="00222730"/>
    <w:rsid w:val="00225F3B"/>
    <w:rsid w:val="00231462"/>
    <w:rsid w:val="00232963"/>
    <w:rsid w:val="002360E2"/>
    <w:rsid w:val="002422CE"/>
    <w:rsid w:val="002440D4"/>
    <w:rsid w:val="00246D6D"/>
    <w:rsid w:val="00247D79"/>
    <w:rsid w:val="00261788"/>
    <w:rsid w:val="0026270B"/>
    <w:rsid w:val="0026334E"/>
    <w:rsid w:val="00287209"/>
    <w:rsid w:val="00294B7E"/>
    <w:rsid w:val="002A0D41"/>
    <w:rsid w:val="002A57C4"/>
    <w:rsid w:val="002B4DA5"/>
    <w:rsid w:val="002C18F3"/>
    <w:rsid w:val="002C1E1E"/>
    <w:rsid w:val="002C29B0"/>
    <w:rsid w:val="002D5D06"/>
    <w:rsid w:val="002E1A8B"/>
    <w:rsid w:val="002F43AC"/>
    <w:rsid w:val="002F68F2"/>
    <w:rsid w:val="00300B84"/>
    <w:rsid w:val="0030101B"/>
    <w:rsid w:val="00305623"/>
    <w:rsid w:val="00321AF1"/>
    <w:rsid w:val="0032256F"/>
    <w:rsid w:val="0032380C"/>
    <w:rsid w:val="00324CD3"/>
    <w:rsid w:val="00333347"/>
    <w:rsid w:val="0033616F"/>
    <w:rsid w:val="00340C19"/>
    <w:rsid w:val="003521E2"/>
    <w:rsid w:val="00354BCA"/>
    <w:rsid w:val="00370098"/>
    <w:rsid w:val="00373C63"/>
    <w:rsid w:val="00383DB6"/>
    <w:rsid w:val="00397893"/>
    <w:rsid w:val="003A3420"/>
    <w:rsid w:val="003B0D4D"/>
    <w:rsid w:val="003B3DD8"/>
    <w:rsid w:val="003B6BF8"/>
    <w:rsid w:val="003B6F36"/>
    <w:rsid w:val="003C0866"/>
    <w:rsid w:val="003C3C4E"/>
    <w:rsid w:val="003C7D9D"/>
    <w:rsid w:val="003D0428"/>
    <w:rsid w:val="003D1C1E"/>
    <w:rsid w:val="003D4D3E"/>
    <w:rsid w:val="003D5B48"/>
    <w:rsid w:val="003F7C87"/>
    <w:rsid w:val="004033D9"/>
    <w:rsid w:val="00404122"/>
    <w:rsid w:val="00405621"/>
    <w:rsid w:val="004064DC"/>
    <w:rsid w:val="00407D92"/>
    <w:rsid w:val="004128B7"/>
    <w:rsid w:val="00417B57"/>
    <w:rsid w:val="0042526F"/>
    <w:rsid w:val="00426101"/>
    <w:rsid w:val="00431A76"/>
    <w:rsid w:val="00435437"/>
    <w:rsid w:val="00435753"/>
    <w:rsid w:val="004402DA"/>
    <w:rsid w:val="00442445"/>
    <w:rsid w:val="00442D3B"/>
    <w:rsid w:val="0044677A"/>
    <w:rsid w:val="004473BD"/>
    <w:rsid w:val="00455D08"/>
    <w:rsid w:val="00465D23"/>
    <w:rsid w:val="00466309"/>
    <w:rsid w:val="0046793B"/>
    <w:rsid w:val="00467D46"/>
    <w:rsid w:val="00470F7F"/>
    <w:rsid w:val="0047136D"/>
    <w:rsid w:val="0047214B"/>
    <w:rsid w:val="00477BFF"/>
    <w:rsid w:val="00477DF7"/>
    <w:rsid w:val="00493833"/>
    <w:rsid w:val="00494870"/>
    <w:rsid w:val="004B0A0A"/>
    <w:rsid w:val="004B3298"/>
    <w:rsid w:val="004B3957"/>
    <w:rsid w:val="004C3B77"/>
    <w:rsid w:val="004C6A64"/>
    <w:rsid w:val="004C6D51"/>
    <w:rsid w:val="004C6F0B"/>
    <w:rsid w:val="004D48E6"/>
    <w:rsid w:val="004D4B38"/>
    <w:rsid w:val="004E1541"/>
    <w:rsid w:val="004E3D84"/>
    <w:rsid w:val="004F0307"/>
    <w:rsid w:val="004F069B"/>
    <w:rsid w:val="004F4765"/>
    <w:rsid w:val="004F5AC5"/>
    <w:rsid w:val="00500296"/>
    <w:rsid w:val="005018C4"/>
    <w:rsid w:val="0050689C"/>
    <w:rsid w:val="00521491"/>
    <w:rsid w:val="0052156B"/>
    <w:rsid w:val="00532075"/>
    <w:rsid w:val="0053647C"/>
    <w:rsid w:val="00544341"/>
    <w:rsid w:val="005446FF"/>
    <w:rsid w:val="0055127D"/>
    <w:rsid w:val="00551DB2"/>
    <w:rsid w:val="0056462F"/>
    <w:rsid w:val="00564923"/>
    <w:rsid w:val="00581F26"/>
    <w:rsid w:val="00585884"/>
    <w:rsid w:val="00596534"/>
    <w:rsid w:val="005A3E94"/>
    <w:rsid w:val="005B12D2"/>
    <w:rsid w:val="005B5A35"/>
    <w:rsid w:val="005C7BC5"/>
    <w:rsid w:val="005D1D09"/>
    <w:rsid w:val="005D2BEF"/>
    <w:rsid w:val="005F0835"/>
    <w:rsid w:val="0060260A"/>
    <w:rsid w:val="0060448B"/>
    <w:rsid w:val="00610508"/>
    <w:rsid w:val="0061209F"/>
    <w:rsid w:val="00613283"/>
    <w:rsid w:val="0061594B"/>
    <w:rsid w:val="00616D22"/>
    <w:rsid w:val="00621343"/>
    <w:rsid w:val="00635126"/>
    <w:rsid w:val="00640E80"/>
    <w:rsid w:val="00645052"/>
    <w:rsid w:val="00650939"/>
    <w:rsid w:val="00670DCD"/>
    <w:rsid w:val="00673928"/>
    <w:rsid w:val="00690C38"/>
    <w:rsid w:val="006975F4"/>
    <w:rsid w:val="006A417E"/>
    <w:rsid w:val="006A4A7E"/>
    <w:rsid w:val="006B22A2"/>
    <w:rsid w:val="006C38C6"/>
    <w:rsid w:val="006C7FE2"/>
    <w:rsid w:val="006D1053"/>
    <w:rsid w:val="006D1178"/>
    <w:rsid w:val="006D24F8"/>
    <w:rsid w:val="006E6535"/>
    <w:rsid w:val="006E7A26"/>
    <w:rsid w:val="006F47DF"/>
    <w:rsid w:val="006F4AB9"/>
    <w:rsid w:val="006F4C30"/>
    <w:rsid w:val="00700E8C"/>
    <w:rsid w:val="00704E46"/>
    <w:rsid w:val="0070632B"/>
    <w:rsid w:val="007074DA"/>
    <w:rsid w:val="00711394"/>
    <w:rsid w:val="00713661"/>
    <w:rsid w:val="007323BD"/>
    <w:rsid w:val="00737305"/>
    <w:rsid w:val="007456C9"/>
    <w:rsid w:val="0075018F"/>
    <w:rsid w:val="0075319B"/>
    <w:rsid w:val="00753C8D"/>
    <w:rsid w:val="00753DBF"/>
    <w:rsid w:val="007541EF"/>
    <w:rsid w:val="00756B50"/>
    <w:rsid w:val="00760EEB"/>
    <w:rsid w:val="00772C1B"/>
    <w:rsid w:val="00775F39"/>
    <w:rsid w:val="00777301"/>
    <w:rsid w:val="007827AB"/>
    <w:rsid w:val="007852A0"/>
    <w:rsid w:val="007A03E7"/>
    <w:rsid w:val="007A1BB9"/>
    <w:rsid w:val="007A2B8E"/>
    <w:rsid w:val="007B022D"/>
    <w:rsid w:val="007B2629"/>
    <w:rsid w:val="007C3E9A"/>
    <w:rsid w:val="007C4A87"/>
    <w:rsid w:val="007C7C1E"/>
    <w:rsid w:val="007D6E9E"/>
    <w:rsid w:val="007D7E10"/>
    <w:rsid w:val="007E6C4D"/>
    <w:rsid w:val="007F31E4"/>
    <w:rsid w:val="007F6DFA"/>
    <w:rsid w:val="00813DC6"/>
    <w:rsid w:val="00814A04"/>
    <w:rsid w:val="00814DCE"/>
    <w:rsid w:val="00815D9B"/>
    <w:rsid w:val="00817FBB"/>
    <w:rsid w:val="00820346"/>
    <w:rsid w:val="00821520"/>
    <w:rsid w:val="00824DA5"/>
    <w:rsid w:val="008267C6"/>
    <w:rsid w:val="008349AF"/>
    <w:rsid w:val="008368E6"/>
    <w:rsid w:val="008369FD"/>
    <w:rsid w:val="008404E6"/>
    <w:rsid w:val="0084624F"/>
    <w:rsid w:val="00851F8E"/>
    <w:rsid w:val="00873AE1"/>
    <w:rsid w:val="00890807"/>
    <w:rsid w:val="008912D7"/>
    <w:rsid w:val="008947CE"/>
    <w:rsid w:val="008A4774"/>
    <w:rsid w:val="008B0D09"/>
    <w:rsid w:val="008B6605"/>
    <w:rsid w:val="008D06A9"/>
    <w:rsid w:val="008D63E7"/>
    <w:rsid w:val="008E4378"/>
    <w:rsid w:val="008F721B"/>
    <w:rsid w:val="00900540"/>
    <w:rsid w:val="00904EE8"/>
    <w:rsid w:val="0091070A"/>
    <w:rsid w:val="00921909"/>
    <w:rsid w:val="00925922"/>
    <w:rsid w:val="0093195D"/>
    <w:rsid w:val="00934437"/>
    <w:rsid w:val="0093611D"/>
    <w:rsid w:val="0093724F"/>
    <w:rsid w:val="00937AE2"/>
    <w:rsid w:val="00940C66"/>
    <w:rsid w:val="00940CCB"/>
    <w:rsid w:val="009422A7"/>
    <w:rsid w:val="00950E24"/>
    <w:rsid w:val="0095190C"/>
    <w:rsid w:val="00952925"/>
    <w:rsid w:val="009541F0"/>
    <w:rsid w:val="00954D19"/>
    <w:rsid w:val="0096226A"/>
    <w:rsid w:val="00963380"/>
    <w:rsid w:val="00964345"/>
    <w:rsid w:val="00972BE0"/>
    <w:rsid w:val="0098666F"/>
    <w:rsid w:val="00987CB1"/>
    <w:rsid w:val="00991119"/>
    <w:rsid w:val="009926D5"/>
    <w:rsid w:val="0099374F"/>
    <w:rsid w:val="0099415B"/>
    <w:rsid w:val="009A0526"/>
    <w:rsid w:val="009A0DA8"/>
    <w:rsid w:val="009A5166"/>
    <w:rsid w:val="009A5E18"/>
    <w:rsid w:val="009A6E43"/>
    <w:rsid w:val="009A7DB1"/>
    <w:rsid w:val="009C1654"/>
    <w:rsid w:val="009C16CA"/>
    <w:rsid w:val="009C2AB7"/>
    <w:rsid w:val="009C311F"/>
    <w:rsid w:val="009C7724"/>
    <w:rsid w:val="009F597E"/>
    <w:rsid w:val="009F64E8"/>
    <w:rsid w:val="00A01954"/>
    <w:rsid w:val="00A05722"/>
    <w:rsid w:val="00A071C7"/>
    <w:rsid w:val="00A1053E"/>
    <w:rsid w:val="00A1191D"/>
    <w:rsid w:val="00A12B87"/>
    <w:rsid w:val="00A15D0E"/>
    <w:rsid w:val="00A20F40"/>
    <w:rsid w:val="00A21B97"/>
    <w:rsid w:val="00A34AEB"/>
    <w:rsid w:val="00A37458"/>
    <w:rsid w:val="00A438EE"/>
    <w:rsid w:val="00A447F1"/>
    <w:rsid w:val="00A453C5"/>
    <w:rsid w:val="00A46FF8"/>
    <w:rsid w:val="00A61606"/>
    <w:rsid w:val="00A73AE2"/>
    <w:rsid w:val="00A743C6"/>
    <w:rsid w:val="00A809D7"/>
    <w:rsid w:val="00A861E8"/>
    <w:rsid w:val="00A902C0"/>
    <w:rsid w:val="00A9600F"/>
    <w:rsid w:val="00AA274A"/>
    <w:rsid w:val="00AA567E"/>
    <w:rsid w:val="00AB4FDB"/>
    <w:rsid w:val="00AC06CC"/>
    <w:rsid w:val="00AC2FFC"/>
    <w:rsid w:val="00AC49A0"/>
    <w:rsid w:val="00AD179B"/>
    <w:rsid w:val="00AD4B20"/>
    <w:rsid w:val="00AD6264"/>
    <w:rsid w:val="00AE69C3"/>
    <w:rsid w:val="00AF1EA3"/>
    <w:rsid w:val="00B00A5D"/>
    <w:rsid w:val="00B0247E"/>
    <w:rsid w:val="00B0489B"/>
    <w:rsid w:val="00B0578A"/>
    <w:rsid w:val="00B1199F"/>
    <w:rsid w:val="00B1574E"/>
    <w:rsid w:val="00B16449"/>
    <w:rsid w:val="00B25B44"/>
    <w:rsid w:val="00B3313F"/>
    <w:rsid w:val="00B37CD5"/>
    <w:rsid w:val="00B45CBC"/>
    <w:rsid w:val="00B462A1"/>
    <w:rsid w:val="00B46BE5"/>
    <w:rsid w:val="00B658CF"/>
    <w:rsid w:val="00B6626C"/>
    <w:rsid w:val="00B723BF"/>
    <w:rsid w:val="00B777E5"/>
    <w:rsid w:val="00B81BB2"/>
    <w:rsid w:val="00B82578"/>
    <w:rsid w:val="00B9487E"/>
    <w:rsid w:val="00BB0767"/>
    <w:rsid w:val="00BB259A"/>
    <w:rsid w:val="00BC1DD2"/>
    <w:rsid w:val="00BD2E7E"/>
    <w:rsid w:val="00BD54E2"/>
    <w:rsid w:val="00BD62B8"/>
    <w:rsid w:val="00BE0342"/>
    <w:rsid w:val="00BE341A"/>
    <w:rsid w:val="00BE3F3F"/>
    <w:rsid w:val="00BF2EE5"/>
    <w:rsid w:val="00BF3EF9"/>
    <w:rsid w:val="00BF5C27"/>
    <w:rsid w:val="00BF5C81"/>
    <w:rsid w:val="00C01DA7"/>
    <w:rsid w:val="00C147FD"/>
    <w:rsid w:val="00C14D65"/>
    <w:rsid w:val="00C2261E"/>
    <w:rsid w:val="00C22E06"/>
    <w:rsid w:val="00C2385A"/>
    <w:rsid w:val="00C412C2"/>
    <w:rsid w:val="00C45579"/>
    <w:rsid w:val="00C508E9"/>
    <w:rsid w:val="00C50C34"/>
    <w:rsid w:val="00C518C5"/>
    <w:rsid w:val="00C74EBA"/>
    <w:rsid w:val="00C7714B"/>
    <w:rsid w:val="00C80EE8"/>
    <w:rsid w:val="00C92026"/>
    <w:rsid w:val="00C951C0"/>
    <w:rsid w:val="00C9644C"/>
    <w:rsid w:val="00CA5163"/>
    <w:rsid w:val="00CA64B8"/>
    <w:rsid w:val="00CA66B7"/>
    <w:rsid w:val="00CB61E3"/>
    <w:rsid w:val="00CB64AD"/>
    <w:rsid w:val="00CC153C"/>
    <w:rsid w:val="00CC57D5"/>
    <w:rsid w:val="00CC7233"/>
    <w:rsid w:val="00CC7F06"/>
    <w:rsid w:val="00CD4183"/>
    <w:rsid w:val="00CD5976"/>
    <w:rsid w:val="00CE0CE4"/>
    <w:rsid w:val="00CE2AF8"/>
    <w:rsid w:val="00CE4E3E"/>
    <w:rsid w:val="00CF4764"/>
    <w:rsid w:val="00D00177"/>
    <w:rsid w:val="00D11F52"/>
    <w:rsid w:val="00D15CE1"/>
    <w:rsid w:val="00D231ED"/>
    <w:rsid w:val="00D25FD1"/>
    <w:rsid w:val="00D313D8"/>
    <w:rsid w:val="00D41A16"/>
    <w:rsid w:val="00D45E1C"/>
    <w:rsid w:val="00D4650C"/>
    <w:rsid w:val="00D46F06"/>
    <w:rsid w:val="00D5210F"/>
    <w:rsid w:val="00D53CC9"/>
    <w:rsid w:val="00D54D52"/>
    <w:rsid w:val="00D603B6"/>
    <w:rsid w:val="00D72D66"/>
    <w:rsid w:val="00D7372F"/>
    <w:rsid w:val="00D755FD"/>
    <w:rsid w:val="00D85259"/>
    <w:rsid w:val="00D8717A"/>
    <w:rsid w:val="00D911EC"/>
    <w:rsid w:val="00DA40ED"/>
    <w:rsid w:val="00DA6BF7"/>
    <w:rsid w:val="00DB6437"/>
    <w:rsid w:val="00DC5C57"/>
    <w:rsid w:val="00DC5F0A"/>
    <w:rsid w:val="00DD2F1A"/>
    <w:rsid w:val="00DD6203"/>
    <w:rsid w:val="00DE0A31"/>
    <w:rsid w:val="00E028F5"/>
    <w:rsid w:val="00E214E7"/>
    <w:rsid w:val="00E24C43"/>
    <w:rsid w:val="00E2535B"/>
    <w:rsid w:val="00E2618A"/>
    <w:rsid w:val="00E276DE"/>
    <w:rsid w:val="00E367C2"/>
    <w:rsid w:val="00E37F11"/>
    <w:rsid w:val="00E5081D"/>
    <w:rsid w:val="00E517DC"/>
    <w:rsid w:val="00E52D61"/>
    <w:rsid w:val="00E64113"/>
    <w:rsid w:val="00E642B8"/>
    <w:rsid w:val="00E70EEC"/>
    <w:rsid w:val="00E74461"/>
    <w:rsid w:val="00E74E67"/>
    <w:rsid w:val="00E873A5"/>
    <w:rsid w:val="00E920C6"/>
    <w:rsid w:val="00EA0E05"/>
    <w:rsid w:val="00EA3127"/>
    <w:rsid w:val="00EA62B2"/>
    <w:rsid w:val="00EB30BB"/>
    <w:rsid w:val="00EB7872"/>
    <w:rsid w:val="00EC09A7"/>
    <w:rsid w:val="00EC5F24"/>
    <w:rsid w:val="00EC6861"/>
    <w:rsid w:val="00ED050B"/>
    <w:rsid w:val="00ED2F5A"/>
    <w:rsid w:val="00EE4705"/>
    <w:rsid w:val="00EF1286"/>
    <w:rsid w:val="00EF693B"/>
    <w:rsid w:val="00F00C72"/>
    <w:rsid w:val="00F018A4"/>
    <w:rsid w:val="00F03148"/>
    <w:rsid w:val="00F04A04"/>
    <w:rsid w:val="00F075B4"/>
    <w:rsid w:val="00F07F9F"/>
    <w:rsid w:val="00F1447D"/>
    <w:rsid w:val="00F26323"/>
    <w:rsid w:val="00F26AF5"/>
    <w:rsid w:val="00F27962"/>
    <w:rsid w:val="00F36A9A"/>
    <w:rsid w:val="00F42625"/>
    <w:rsid w:val="00F44C28"/>
    <w:rsid w:val="00F54DD8"/>
    <w:rsid w:val="00F64E8E"/>
    <w:rsid w:val="00F65E44"/>
    <w:rsid w:val="00F709C0"/>
    <w:rsid w:val="00F85FF9"/>
    <w:rsid w:val="00F91DAC"/>
    <w:rsid w:val="00F93179"/>
    <w:rsid w:val="00F939E2"/>
    <w:rsid w:val="00F96812"/>
    <w:rsid w:val="00FA2203"/>
    <w:rsid w:val="00FB03B0"/>
    <w:rsid w:val="00FC0176"/>
    <w:rsid w:val="00FE1053"/>
    <w:rsid w:val="00FE4FFB"/>
    <w:rsid w:val="00FE585D"/>
    <w:rsid w:val="00FE7F68"/>
    <w:rsid w:val="00FF71A5"/>
    <w:rsid w:val="016E34E7"/>
    <w:rsid w:val="0439A2B4"/>
    <w:rsid w:val="07551C24"/>
    <w:rsid w:val="0DAB354B"/>
    <w:rsid w:val="0EE66FBC"/>
    <w:rsid w:val="0F7C555B"/>
    <w:rsid w:val="12C26E6D"/>
    <w:rsid w:val="13403F21"/>
    <w:rsid w:val="13829AF1"/>
    <w:rsid w:val="240488A4"/>
    <w:rsid w:val="2530F815"/>
    <w:rsid w:val="2EC3BD1E"/>
    <w:rsid w:val="346A85EB"/>
    <w:rsid w:val="3850DEEF"/>
    <w:rsid w:val="389636F0"/>
    <w:rsid w:val="3C1FAEC5"/>
    <w:rsid w:val="3D345864"/>
    <w:rsid w:val="4032A9AC"/>
    <w:rsid w:val="46F761FC"/>
    <w:rsid w:val="4CBE9612"/>
    <w:rsid w:val="4E104C0B"/>
    <w:rsid w:val="57CBF90A"/>
    <w:rsid w:val="5809E464"/>
    <w:rsid w:val="584441F7"/>
    <w:rsid w:val="5983F0BD"/>
    <w:rsid w:val="5E1458E0"/>
    <w:rsid w:val="5E5761E0"/>
    <w:rsid w:val="63C23E4D"/>
    <w:rsid w:val="650A3E61"/>
    <w:rsid w:val="674A80EF"/>
    <w:rsid w:val="69B84188"/>
    <w:rsid w:val="6A3C73AA"/>
    <w:rsid w:val="70114391"/>
    <w:rsid w:val="7C2C371D"/>
    <w:rsid w:val="7F4A0A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ADF662"/>
  <w14:defaultImageDpi w14:val="0"/>
  <w15:docId w15:val="{E80C9402-574C-4E3F-9324-E3C021CD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Body Text" w:uiPriority="1"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A0526"/>
    <w:pPr>
      <w:tabs>
        <w:tab w:val="center" w:pos="4536"/>
        <w:tab w:val="right" w:pos="9072"/>
      </w:tabs>
    </w:pPr>
  </w:style>
  <w:style w:type="character" w:customStyle="1" w:styleId="ZhlavChar">
    <w:name w:val="Záhlaví Char"/>
    <w:link w:val="Zhlav"/>
    <w:uiPriority w:val="99"/>
    <w:semiHidden/>
    <w:locked/>
    <w:rPr>
      <w:rFonts w:cs="Times New Roman"/>
      <w:sz w:val="24"/>
      <w:szCs w:val="24"/>
    </w:rPr>
  </w:style>
  <w:style w:type="character" w:styleId="slostrnky">
    <w:name w:val="page number"/>
    <w:uiPriority w:val="99"/>
    <w:rsid w:val="009A0526"/>
    <w:rPr>
      <w:rFonts w:cs="Times New Roman"/>
    </w:rPr>
  </w:style>
  <w:style w:type="table" w:styleId="Mkatabulky">
    <w:name w:val="Table Grid"/>
    <w:basedOn w:val="Normlntabulka"/>
    <w:uiPriority w:val="59"/>
    <w:rsid w:val="00383D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3C7D9D"/>
    <w:pPr>
      <w:tabs>
        <w:tab w:val="center" w:pos="4536"/>
        <w:tab w:val="right" w:pos="9072"/>
      </w:tabs>
    </w:pPr>
  </w:style>
  <w:style w:type="character" w:customStyle="1" w:styleId="ZpatChar">
    <w:name w:val="Zápatí Char"/>
    <w:link w:val="Zpat"/>
    <w:uiPriority w:val="99"/>
    <w:locked/>
    <w:rPr>
      <w:rFonts w:cs="Times New Roman"/>
      <w:sz w:val="24"/>
      <w:szCs w:val="24"/>
    </w:rPr>
  </w:style>
  <w:style w:type="paragraph" w:customStyle="1" w:styleId="CharCharCharCharCharCharCharCharCharCharCharCharCharCharCharChar">
    <w:name w:val="Char Char Char Char Char Char Char Char Char Char Char Char Char Char Char Char"/>
    <w:basedOn w:val="Normln"/>
    <w:rsid w:val="00426101"/>
    <w:pPr>
      <w:spacing w:after="160" w:line="240" w:lineRule="exact"/>
    </w:pPr>
    <w:rPr>
      <w:rFonts w:ascii="Tahoma" w:hAnsi="Tahoma"/>
      <w:sz w:val="20"/>
      <w:szCs w:val="20"/>
      <w:lang w:val="en-US" w:eastAsia="en-US"/>
    </w:rPr>
  </w:style>
  <w:style w:type="paragraph" w:customStyle="1" w:styleId="CharCharChar">
    <w:name w:val="Char Char Char"/>
    <w:basedOn w:val="Normln"/>
    <w:rsid w:val="009926D5"/>
    <w:pPr>
      <w:spacing w:after="160" w:line="240" w:lineRule="exact"/>
    </w:pPr>
    <w:rPr>
      <w:rFonts w:ascii="Tahoma" w:hAnsi="Tahoma"/>
      <w:sz w:val="20"/>
      <w:szCs w:val="20"/>
      <w:lang w:val="en-US" w:eastAsia="en-US"/>
    </w:rPr>
  </w:style>
  <w:style w:type="paragraph" w:customStyle="1" w:styleId="CharChar1CharCharCharCharCharCharCharCharCharCharCharCharCharCharCharCharCharCharCharChar">
    <w:name w:val="Char Char1 Char Char Char Char Char Char Char Char Char Char Char Char Char Char Char Char Char Char Char Char"/>
    <w:basedOn w:val="Normln"/>
    <w:rsid w:val="00AB4FDB"/>
    <w:pPr>
      <w:spacing w:after="160" w:line="240" w:lineRule="exact"/>
    </w:pPr>
    <w:rPr>
      <w:rFonts w:ascii="Tahoma" w:hAnsi="Tahoma"/>
      <w:sz w:val="20"/>
      <w:szCs w:val="20"/>
      <w:lang w:val="en-US" w:eastAsia="en-US"/>
    </w:rPr>
  </w:style>
  <w:style w:type="paragraph" w:styleId="Prosttext">
    <w:name w:val="Plain Text"/>
    <w:basedOn w:val="Normln"/>
    <w:link w:val="ProsttextChar"/>
    <w:uiPriority w:val="99"/>
    <w:unhideWhenUsed/>
    <w:rsid w:val="00CC7F06"/>
    <w:rPr>
      <w:rFonts w:ascii="Calibri" w:hAnsi="Calibri" w:cs="Consolas"/>
      <w:sz w:val="22"/>
      <w:szCs w:val="21"/>
      <w:lang w:eastAsia="en-US"/>
    </w:rPr>
  </w:style>
  <w:style w:type="character" w:customStyle="1" w:styleId="ProsttextChar">
    <w:name w:val="Prostý text Char"/>
    <w:link w:val="Prosttext"/>
    <w:uiPriority w:val="99"/>
    <w:locked/>
    <w:rsid w:val="00CC7F06"/>
    <w:rPr>
      <w:rFonts w:ascii="Calibri" w:hAnsi="Calibri" w:cs="Consolas"/>
      <w:sz w:val="21"/>
      <w:szCs w:val="21"/>
      <w:lang w:val="x-none" w:eastAsia="en-US"/>
    </w:rPr>
  </w:style>
  <w:style w:type="character" w:styleId="Hypertextovodkaz">
    <w:name w:val="Hyperlink"/>
    <w:uiPriority w:val="99"/>
    <w:rsid w:val="001A45F3"/>
    <w:rPr>
      <w:rFonts w:cs="Times New Roman"/>
      <w:color w:val="0000FF"/>
      <w:u w:val="single"/>
    </w:rPr>
  </w:style>
  <w:style w:type="paragraph" w:styleId="Odstavecseseznamem">
    <w:name w:val="List Paragraph"/>
    <w:basedOn w:val="Normln"/>
    <w:uiPriority w:val="34"/>
    <w:qFormat/>
    <w:rsid w:val="007A1BB9"/>
    <w:pPr>
      <w:ind w:left="720"/>
    </w:pPr>
    <w:rPr>
      <w:rFonts w:ascii="Calibri" w:hAnsi="Calibri" w:cs="Calibri"/>
      <w:sz w:val="22"/>
      <w:szCs w:val="22"/>
      <w:lang w:eastAsia="en-US"/>
    </w:rPr>
  </w:style>
  <w:style w:type="paragraph" w:styleId="Nzev">
    <w:name w:val="Title"/>
    <w:basedOn w:val="Normln"/>
    <w:next w:val="Normln"/>
    <w:link w:val="NzevChar"/>
    <w:uiPriority w:val="10"/>
    <w:qFormat/>
    <w:rsid w:val="00F939E2"/>
    <w:pPr>
      <w:spacing w:after="300"/>
      <w:contextualSpacing/>
    </w:pPr>
    <w:rPr>
      <w:rFonts w:ascii="Calibri" w:hAnsi="Calibri"/>
      <w:b/>
      <w:color w:val="428D96"/>
      <w:spacing w:val="5"/>
      <w:kern w:val="28"/>
      <w:sz w:val="52"/>
      <w:szCs w:val="52"/>
    </w:rPr>
  </w:style>
  <w:style w:type="character" w:customStyle="1" w:styleId="NzevChar">
    <w:name w:val="Název Char"/>
    <w:link w:val="Nzev"/>
    <w:uiPriority w:val="10"/>
    <w:locked/>
    <w:rsid w:val="00F939E2"/>
    <w:rPr>
      <w:rFonts w:ascii="Calibri" w:hAnsi="Calibri" w:cs="Times New Roman"/>
      <w:b/>
      <w:color w:val="428D96"/>
      <w:spacing w:val="5"/>
      <w:kern w:val="28"/>
      <w:sz w:val="52"/>
      <w:szCs w:val="52"/>
    </w:rPr>
  </w:style>
  <w:style w:type="paragraph" w:customStyle="1" w:styleId="Default">
    <w:name w:val="Default"/>
    <w:rsid w:val="00FA2203"/>
    <w:pPr>
      <w:autoSpaceDE w:val="0"/>
      <w:autoSpaceDN w:val="0"/>
      <w:adjustRightInd w:val="0"/>
    </w:pPr>
    <w:rPr>
      <w:rFonts w:ascii="Arial" w:hAnsi="Arial" w:cs="Arial"/>
      <w:color w:val="000000"/>
      <w:sz w:val="24"/>
      <w:szCs w:val="24"/>
    </w:rPr>
  </w:style>
  <w:style w:type="paragraph" w:styleId="Zkladntext">
    <w:name w:val="Body Text"/>
    <w:basedOn w:val="Normln"/>
    <w:link w:val="ZkladntextChar"/>
    <w:uiPriority w:val="1"/>
    <w:qFormat/>
    <w:rsid w:val="00115410"/>
    <w:pPr>
      <w:widowControl w:val="0"/>
      <w:autoSpaceDE w:val="0"/>
      <w:autoSpaceDN w:val="0"/>
      <w:ind w:left="218"/>
      <w:jc w:val="both"/>
    </w:pPr>
  </w:style>
  <w:style w:type="character" w:customStyle="1" w:styleId="ZkladntextChar">
    <w:name w:val="Základní text Char"/>
    <w:link w:val="Zkladntext"/>
    <w:uiPriority w:val="1"/>
    <w:locked/>
    <w:rsid w:val="00115410"/>
    <w:rPr>
      <w:rFonts w:cs="Times New Roman"/>
      <w:sz w:val="24"/>
      <w:szCs w:val="24"/>
    </w:rPr>
  </w:style>
  <w:style w:type="character" w:styleId="Odkaznakoment">
    <w:name w:val="annotation reference"/>
    <w:uiPriority w:val="99"/>
    <w:rsid w:val="00E52D61"/>
    <w:rPr>
      <w:rFonts w:cs="Times New Roman"/>
      <w:sz w:val="16"/>
      <w:szCs w:val="16"/>
    </w:rPr>
  </w:style>
  <w:style w:type="paragraph" w:styleId="Textkomente">
    <w:name w:val="annotation text"/>
    <w:basedOn w:val="Normln"/>
    <w:link w:val="TextkomenteChar"/>
    <w:uiPriority w:val="99"/>
    <w:rsid w:val="00E52D61"/>
    <w:rPr>
      <w:sz w:val="20"/>
      <w:szCs w:val="20"/>
    </w:rPr>
  </w:style>
  <w:style w:type="character" w:customStyle="1" w:styleId="TextkomenteChar">
    <w:name w:val="Text komentáře Char"/>
    <w:link w:val="Textkomente"/>
    <w:uiPriority w:val="99"/>
    <w:locked/>
    <w:rsid w:val="00E52D61"/>
    <w:rPr>
      <w:rFonts w:cs="Times New Roman"/>
    </w:rPr>
  </w:style>
  <w:style w:type="paragraph" w:styleId="Pedmtkomente">
    <w:name w:val="annotation subject"/>
    <w:basedOn w:val="Textkomente"/>
    <w:next w:val="Textkomente"/>
    <w:link w:val="PedmtkomenteChar"/>
    <w:uiPriority w:val="99"/>
    <w:rsid w:val="00E52D61"/>
    <w:rPr>
      <w:b/>
      <w:bCs/>
    </w:rPr>
  </w:style>
  <w:style w:type="character" w:customStyle="1" w:styleId="PedmtkomenteChar">
    <w:name w:val="Předmět komentáře Char"/>
    <w:link w:val="Pedmtkomente"/>
    <w:uiPriority w:val="99"/>
    <w:locked/>
    <w:rsid w:val="00E52D61"/>
    <w:rPr>
      <w:rFonts w:cs="Times New Roman"/>
      <w:b/>
      <w:bCs/>
    </w:rPr>
  </w:style>
  <w:style w:type="paragraph" w:styleId="Revize">
    <w:name w:val="Revision"/>
    <w:hidden/>
    <w:uiPriority w:val="71"/>
    <w:rsid w:val="003978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453737">
      <w:marLeft w:val="0"/>
      <w:marRight w:val="0"/>
      <w:marTop w:val="0"/>
      <w:marBottom w:val="0"/>
      <w:divBdr>
        <w:top w:val="none" w:sz="0" w:space="0" w:color="auto"/>
        <w:left w:val="none" w:sz="0" w:space="0" w:color="auto"/>
        <w:bottom w:val="none" w:sz="0" w:space="0" w:color="auto"/>
        <w:right w:val="none" w:sz="0" w:space="0" w:color="auto"/>
      </w:divBdr>
      <w:divsChild>
        <w:div w:id="368453736">
          <w:marLeft w:val="0"/>
          <w:marRight w:val="0"/>
          <w:marTop w:val="0"/>
          <w:marBottom w:val="0"/>
          <w:divBdr>
            <w:top w:val="none" w:sz="0" w:space="0" w:color="auto"/>
            <w:left w:val="none" w:sz="0" w:space="0" w:color="auto"/>
            <w:bottom w:val="none" w:sz="0" w:space="0" w:color="auto"/>
            <w:right w:val="none" w:sz="0" w:space="0" w:color="auto"/>
          </w:divBdr>
        </w:div>
      </w:divsChild>
    </w:div>
    <w:div w:id="368453738">
      <w:marLeft w:val="0"/>
      <w:marRight w:val="0"/>
      <w:marTop w:val="0"/>
      <w:marBottom w:val="0"/>
      <w:divBdr>
        <w:top w:val="none" w:sz="0" w:space="0" w:color="auto"/>
        <w:left w:val="none" w:sz="0" w:space="0" w:color="auto"/>
        <w:bottom w:val="none" w:sz="0" w:space="0" w:color="auto"/>
        <w:right w:val="none" w:sz="0" w:space="0" w:color="auto"/>
      </w:divBdr>
      <w:divsChild>
        <w:div w:id="368453735">
          <w:marLeft w:val="0"/>
          <w:marRight w:val="0"/>
          <w:marTop w:val="0"/>
          <w:marBottom w:val="0"/>
          <w:divBdr>
            <w:top w:val="none" w:sz="0" w:space="0" w:color="auto"/>
            <w:left w:val="none" w:sz="0" w:space="0" w:color="auto"/>
            <w:bottom w:val="none" w:sz="0" w:space="0" w:color="auto"/>
            <w:right w:val="none" w:sz="0" w:space="0" w:color="auto"/>
          </w:divBdr>
        </w:div>
      </w:divsChild>
    </w:div>
    <w:div w:id="368453739">
      <w:marLeft w:val="0"/>
      <w:marRight w:val="0"/>
      <w:marTop w:val="0"/>
      <w:marBottom w:val="0"/>
      <w:divBdr>
        <w:top w:val="none" w:sz="0" w:space="0" w:color="auto"/>
        <w:left w:val="none" w:sz="0" w:space="0" w:color="auto"/>
        <w:bottom w:val="none" w:sz="0" w:space="0" w:color="auto"/>
        <w:right w:val="none" w:sz="0" w:space="0" w:color="auto"/>
      </w:divBdr>
    </w:div>
    <w:div w:id="368453740">
      <w:marLeft w:val="0"/>
      <w:marRight w:val="0"/>
      <w:marTop w:val="0"/>
      <w:marBottom w:val="0"/>
      <w:divBdr>
        <w:top w:val="none" w:sz="0" w:space="0" w:color="auto"/>
        <w:left w:val="none" w:sz="0" w:space="0" w:color="auto"/>
        <w:bottom w:val="none" w:sz="0" w:space="0" w:color="auto"/>
        <w:right w:val="none" w:sz="0" w:space="0" w:color="auto"/>
      </w:divBdr>
    </w:div>
    <w:div w:id="368453741">
      <w:marLeft w:val="0"/>
      <w:marRight w:val="0"/>
      <w:marTop w:val="0"/>
      <w:marBottom w:val="0"/>
      <w:divBdr>
        <w:top w:val="none" w:sz="0" w:space="0" w:color="auto"/>
        <w:left w:val="none" w:sz="0" w:space="0" w:color="auto"/>
        <w:bottom w:val="none" w:sz="0" w:space="0" w:color="auto"/>
        <w:right w:val="none" w:sz="0" w:space="0" w:color="auto"/>
      </w:divBdr>
    </w:div>
    <w:div w:id="368453742">
      <w:marLeft w:val="0"/>
      <w:marRight w:val="0"/>
      <w:marTop w:val="0"/>
      <w:marBottom w:val="0"/>
      <w:divBdr>
        <w:top w:val="none" w:sz="0" w:space="0" w:color="auto"/>
        <w:left w:val="none" w:sz="0" w:space="0" w:color="auto"/>
        <w:bottom w:val="none" w:sz="0" w:space="0" w:color="auto"/>
        <w:right w:val="none" w:sz="0" w:space="0" w:color="auto"/>
      </w:divBdr>
    </w:div>
    <w:div w:id="368453743">
      <w:marLeft w:val="0"/>
      <w:marRight w:val="0"/>
      <w:marTop w:val="0"/>
      <w:marBottom w:val="0"/>
      <w:divBdr>
        <w:top w:val="none" w:sz="0" w:space="0" w:color="auto"/>
        <w:left w:val="none" w:sz="0" w:space="0" w:color="auto"/>
        <w:bottom w:val="none" w:sz="0" w:space="0" w:color="auto"/>
        <w:right w:val="none" w:sz="0" w:space="0" w:color="auto"/>
      </w:divBdr>
    </w:div>
    <w:div w:id="3684537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B2DC9-4F8C-47EE-9359-85E49B910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6047</Words>
  <Characters>35683</Characters>
  <Application>Microsoft Office Word</Application>
  <DocSecurity>0</DocSecurity>
  <Lines>297</Lines>
  <Paragraphs>83</Paragraphs>
  <ScaleCrop>false</ScaleCrop>
  <Company>CKR</Company>
  <LinksUpToDate>false</LinksUpToDate>
  <CharactersWithSpaces>41647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pro pripominky - Metodicke materialy NAU - 6.6.2022</dc:title>
  <dc:subject/>
  <dc:creator>Marie Fojtikova</dc:creator>
  <cp:keywords/>
  <dc:description/>
  <cp:lastModifiedBy>Pato Marta</cp:lastModifiedBy>
  <cp:revision>2</cp:revision>
  <cp:lastPrinted>2022-06-16T11:09:00Z</cp:lastPrinted>
  <dcterms:created xsi:type="dcterms:W3CDTF">2022-09-26T10:54:00Z</dcterms:created>
  <dcterms:modified xsi:type="dcterms:W3CDTF">2022-09-26T10:54:00Z</dcterms:modified>
</cp:coreProperties>
</file>